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7D9F" w14:textId="658FC29A" w:rsidR="002C423C" w:rsidRDefault="002C423C">
      <w:pPr>
        <w:pStyle w:val="Heading1"/>
      </w:pPr>
      <w:r w:rsidRPr="00FA0740">
        <w:rPr>
          <w:rFonts w:ascii="Times New Roman" w:hAnsi="Times New Roman" w:cs="Times New Roman"/>
          <w:noProof/>
          <w:sz w:val="24"/>
          <w:szCs w:val="24"/>
        </w:rPr>
        <w:drawing>
          <wp:inline distT="0" distB="0" distL="0" distR="0" wp14:anchorId="57296C34" wp14:editId="6B28F40F">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8"/>
                    <a:stretch>
                      <a:fillRect/>
                    </a:stretch>
                  </pic:blipFill>
                  <pic:spPr>
                    <a:xfrm>
                      <a:off x="0" y="0"/>
                      <a:ext cx="6057900" cy="1040130"/>
                    </a:xfrm>
                    <a:prstGeom prst="rect">
                      <a:avLst/>
                    </a:prstGeom>
                  </pic:spPr>
                </pic:pic>
              </a:graphicData>
            </a:graphic>
          </wp:inline>
        </w:drawing>
      </w:r>
    </w:p>
    <w:p w14:paraId="623073D2" w14:textId="77777777" w:rsidR="002C423C" w:rsidRDefault="002C423C">
      <w:pPr>
        <w:pStyle w:val="Heading1"/>
      </w:pPr>
    </w:p>
    <w:p w14:paraId="09B78B7C" w14:textId="76DC25BA" w:rsidR="002C423C" w:rsidRPr="002C423C" w:rsidRDefault="002C423C" w:rsidP="002C423C">
      <w:pPr>
        <w:spacing w:line="360" w:lineRule="auto"/>
        <w:jc w:val="center"/>
        <w:rPr>
          <w:rFonts w:cs="Times New Roman"/>
          <w:b/>
          <w:bCs/>
          <w:sz w:val="28"/>
          <w:szCs w:val="28"/>
        </w:rPr>
      </w:pPr>
      <w:r w:rsidRPr="002C423C">
        <w:rPr>
          <w:rFonts w:cs="Times New Roman"/>
          <w:b/>
          <w:bCs/>
          <w:sz w:val="28"/>
          <w:szCs w:val="28"/>
        </w:rPr>
        <w:t>Medication Adherence Tracker for Elderly Patients</w:t>
      </w:r>
    </w:p>
    <w:p w14:paraId="71F790B4" w14:textId="77777777" w:rsidR="002C423C" w:rsidRDefault="002C423C" w:rsidP="002C423C">
      <w:pPr>
        <w:spacing w:line="360" w:lineRule="auto"/>
        <w:jc w:val="center"/>
        <w:rPr>
          <w:rFonts w:cs="Times New Roman"/>
          <w:b/>
          <w:bCs/>
          <w:sz w:val="24"/>
          <w:szCs w:val="24"/>
        </w:rPr>
      </w:pPr>
    </w:p>
    <w:p w14:paraId="26AFFBC4" w14:textId="616EC7E5" w:rsidR="002C423C" w:rsidRPr="00FA0740" w:rsidRDefault="002C423C" w:rsidP="002C423C">
      <w:pPr>
        <w:spacing w:line="360" w:lineRule="auto"/>
        <w:jc w:val="center"/>
        <w:rPr>
          <w:rFonts w:cs="Times New Roman"/>
          <w:b/>
          <w:bCs/>
          <w:sz w:val="24"/>
          <w:szCs w:val="24"/>
        </w:rPr>
      </w:pPr>
      <w:r w:rsidRPr="00FA0740">
        <w:rPr>
          <w:rFonts w:cs="Times New Roman"/>
          <w:b/>
          <w:bCs/>
          <w:sz w:val="24"/>
          <w:szCs w:val="24"/>
        </w:rPr>
        <w:t>CSA1012 — SOFTWARE ENGINEERING</w:t>
      </w:r>
    </w:p>
    <w:p w14:paraId="485A64C8" w14:textId="77777777" w:rsidR="002C423C" w:rsidRPr="00FA0740" w:rsidRDefault="002C423C" w:rsidP="002C423C">
      <w:pPr>
        <w:spacing w:line="360" w:lineRule="auto"/>
        <w:jc w:val="center"/>
        <w:rPr>
          <w:rFonts w:cs="Times New Roman"/>
          <w:sz w:val="24"/>
          <w:szCs w:val="24"/>
        </w:rPr>
      </w:pPr>
    </w:p>
    <w:p w14:paraId="4ED9354B" w14:textId="77777777" w:rsidR="002C423C" w:rsidRPr="00FA0740" w:rsidRDefault="002C423C" w:rsidP="002C423C">
      <w:pPr>
        <w:spacing w:line="360" w:lineRule="auto"/>
        <w:jc w:val="center"/>
        <w:rPr>
          <w:rFonts w:cs="Times New Roman"/>
          <w:i/>
          <w:iCs/>
          <w:sz w:val="24"/>
          <w:szCs w:val="24"/>
        </w:rPr>
      </w:pPr>
      <w:r w:rsidRPr="00FA0740">
        <w:rPr>
          <w:rFonts w:cs="Times New Roman"/>
          <w:i/>
          <w:iCs/>
          <w:sz w:val="24"/>
          <w:szCs w:val="24"/>
        </w:rPr>
        <w:t>towards the award of the degree of</w:t>
      </w:r>
    </w:p>
    <w:p w14:paraId="7DDE5E4D" w14:textId="77777777" w:rsidR="002C423C" w:rsidRPr="00FA0740" w:rsidRDefault="002C423C" w:rsidP="002C423C">
      <w:pPr>
        <w:spacing w:line="360" w:lineRule="auto"/>
        <w:jc w:val="center"/>
        <w:rPr>
          <w:rFonts w:cs="Times New Roman"/>
          <w:sz w:val="24"/>
          <w:szCs w:val="24"/>
        </w:rPr>
      </w:pPr>
    </w:p>
    <w:p w14:paraId="56D4AAEE" w14:textId="77777777" w:rsidR="002C423C" w:rsidRPr="00FA0740" w:rsidRDefault="002C423C" w:rsidP="002C423C">
      <w:pPr>
        <w:spacing w:line="360" w:lineRule="auto"/>
        <w:jc w:val="center"/>
        <w:rPr>
          <w:rFonts w:cs="Times New Roman"/>
          <w:sz w:val="24"/>
          <w:szCs w:val="24"/>
        </w:rPr>
      </w:pPr>
      <w:r w:rsidRPr="00FA0740">
        <w:rPr>
          <w:rFonts w:cs="Times New Roman"/>
          <w:b/>
          <w:bCs/>
          <w:sz w:val="24"/>
          <w:szCs w:val="24"/>
        </w:rPr>
        <w:t>BACHELOR OF TECHNOLOGY</w:t>
      </w:r>
    </w:p>
    <w:p w14:paraId="37AE4926" w14:textId="77777777" w:rsidR="002C423C" w:rsidRPr="00FA0740" w:rsidRDefault="002C423C" w:rsidP="002C423C">
      <w:pPr>
        <w:spacing w:line="360" w:lineRule="auto"/>
        <w:jc w:val="center"/>
        <w:rPr>
          <w:rFonts w:cs="Times New Roman"/>
          <w:sz w:val="24"/>
          <w:szCs w:val="24"/>
        </w:rPr>
      </w:pPr>
      <w:r w:rsidRPr="00FA0740">
        <w:rPr>
          <w:rFonts w:cs="Times New Roman"/>
          <w:sz w:val="24"/>
          <w:szCs w:val="24"/>
        </w:rPr>
        <w:t>IN</w:t>
      </w:r>
    </w:p>
    <w:p w14:paraId="343904BB" w14:textId="77777777" w:rsidR="002C423C" w:rsidRPr="00FA0740" w:rsidRDefault="002C423C" w:rsidP="002C423C">
      <w:pPr>
        <w:spacing w:line="360" w:lineRule="auto"/>
        <w:jc w:val="center"/>
        <w:rPr>
          <w:rFonts w:cs="Times New Roman"/>
          <w:b/>
          <w:bCs/>
          <w:sz w:val="24"/>
          <w:szCs w:val="24"/>
        </w:rPr>
      </w:pPr>
      <w:r w:rsidRPr="00FA0740">
        <w:rPr>
          <w:rFonts w:cs="Times New Roman"/>
          <w:b/>
          <w:bCs/>
          <w:sz w:val="24"/>
          <w:szCs w:val="24"/>
        </w:rPr>
        <w:t>COMPUTER SCIENCE (AI)</w:t>
      </w:r>
    </w:p>
    <w:p w14:paraId="0A77502E" w14:textId="77777777" w:rsidR="002C423C" w:rsidRPr="00FA0740" w:rsidRDefault="002C423C" w:rsidP="002C423C">
      <w:pPr>
        <w:spacing w:line="360" w:lineRule="auto"/>
        <w:jc w:val="center"/>
        <w:rPr>
          <w:rFonts w:cs="Times New Roman"/>
          <w:sz w:val="24"/>
          <w:szCs w:val="24"/>
        </w:rPr>
      </w:pPr>
    </w:p>
    <w:p w14:paraId="1E4BAAD0" w14:textId="77777777" w:rsidR="002C423C" w:rsidRPr="00FA0740" w:rsidRDefault="002C423C" w:rsidP="002C423C">
      <w:pPr>
        <w:spacing w:line="360" w:lineRule="auto"/>
        <w:jc w:val="center"/>
        <w:rPr>
          <w:rFonts w:cs="Times New Roman"/>
          <w:sz w:val="24"/>
          <w:szCs w:val="24"/>
        </w:rPr>
      </w:pPr>
      <w:r w:rsidRPr="00FA0740">
        <w:rPr>
          <w:rFonts w:cs="Times New Roman"/>
          <w:sz w:val="24"/>
          <w:szCs w:val="24"/>
        </w:rPr>
        <w:t>Submitted by</w:t>
      </w:r>
    </w:p>
    <w:p w14:paraId="57E4A695" w14:textId="77777777" w:rsidR="002C423C" w:rsidRPr="00FA0740" w:rsidRDefault="002C423C" w:rsidP="002C423C">
      <w:pPr>
        <w:spacing w:line="360" w:lineRule="auto"/>
        <w:jc w:val="center"/>
        <w:rPr>
          <w:rFonts w:cs="Times New Roman"/>
          <w:sz w:val="24"/>
          <w:szCs w:val="24"/>
        </w:rPr>
      </w:pPr>
    </w:p>
    <w:p w14:paraId="79D784BB" w14:textId="358A2B4D" w:rsidR="002C423C" w:rsidRPr="00FA0740" w:rsidRDefault="002C423C" w:rsidP="002C423C">
      <w:pPr>
        <w:spacing w:line="360" w:lineRule="auto"/>
        <w:jc w:val="center"/>
        <w:rPr>
          <w:rFonts w:cs="Times New Roman"/>
          <w:b/>
          <w:bCs/>
          <w:sz w:val="24"/>
          <w:szCs w:val="24"/>
        </w:rPr>
      </w:pPr>
      <w:r>
        <w:rPr>
          <w:rFonts w:cs="Times New Roman"/>
          <w:b/>
          <w:bCs/>
          <w:sz w:val="24"/>
          <w:szCs w:val="24"/>
        </w:rPr>
        <w:t xml:space="preserve">P </w:t>
      </w:r>
      <w:proofErr w:type="gramStart"/>
      <w:r>
        <w:rPr>
          <w:rFonts w:cs="Times New Roman"/>
          <w:b/>
          <w:bCs/>
          <w:sz w:val="24"/>
          <w:szCs w:val="24"/>
        </w:rPr>
        <w:t>SADVIK</w:t>
      </w:r>
      <w:r w:rsidRPr="00FA0740">
        <w:rPr>
          <w:rFonts w:cs="Times New Roman"/>
          <w:b/>
          <w:bCs/>
          <w:sz w:val="24"/>
          <w:szCs w:val="24"/>
        </w:rPr>
        <w:t>(</w:t>
      </w:r>
      <w:proofErr w:type="gramEnd"/>
      <w:r w:rsidRPr="00FA0740">
        <w:rPr>
          <w:rFonts w:cs="Times New Roman"/>
          <w:b/>
          <w:bCs/>
          <w:sz w:val="24"/>
          <w:szCs w:val="24"/>
        </w:rPr>
        <w:t>192</w:t>
      </w:r>
      <w:r>
        <w:rPr>
          <w:rFonts w:cs="Times New Roman"/>
          <w:b/>
          <w:bCs/>
          <w:sz w:val="24"/>
          <w:szCs w:val="24"/>
        </w:rPr>
        <w:t>472243</w:t>
      </w:r>
      <w:r w:rsidRPr="00FA0740">
        <w:rPr>
          <w:rFonts w:cs="Times New Roman"/>
          <w:b/>
          <w:bCs/>
          <w:sz w:val="24"/>
          <w:szCs w:val="24"/>
        </w:rPr>
        <w:t>)</w:t>
      </w:r>
    </w:p>
    <w:p w14:paraId="5C0BFBA2" w14:textId="77777777" w:rsidR="002C423C" w:rsidRPr="00FA0740" w:rsidRDefault="002C423C" w:rsidP="002C423C">
      <w:pPr>
        <w:spacing w:line="360" w:lineRule="auto"/>
        <w:jc w:val="center"/>
        <w:rPr>
          <w:rFonts w:cs="Times New Roman"/>
          <w:sz w:val="24"/>
          <w:szCs w:val="24"/>
        </w:rPr>
      </w:pPr>
    </w:p>
    <w:p w14:paraId="52C15FE0" w14:textId="77777777" w:rsidR="002C423C" w:rsidRPr="00FA0740" w:rsidRDefault="002C423C" w:rsidP="002C423C">
      <w:pPr>
        <w:spacing w:line="360" w:lineRule="auto"/>
        <w:jc w:val="center"/>
        <w:rPr>
          <w:rFonts w:cs="Times New Roman"/>
          <w:sz w:val="24"/>
          <w:szCs w:val="24"/>
        </w:rPr>
      </w:pPr>
      <w:r w:rsidRPr="00FA0740">
        <w:rPr>
          <w:rFonts w:cs="Times New Roman"/>
          <w:sz w:val="24"/>
          <w:szCs w:val="24"/>
        </w:rPr>
        <w:t>Under the Supervision of</w:t>
      </w:r>
    </w:p>
    <w:p w14:paraId="5F87EF09" w14:textId="77777777" w:rsidR="002C423C" w:rsidRPr="00FA0740" w:rsidRDefault="002C423C" w:rsidP="002C423C">
      <w:pPr>
        <w:spacing w:line="360" w:lineRule="auto"/>
        <w:jc w:val="center"/>
        <w:rPr>
          <w:rFonts w:cs="Times New Roman"/>
          <w:sz w:val="24"/>
          <w:szCs w:val="24"/>
        </w:rPr>
      </w:pPr>
    </w:p>
    <w:p w14:paraId="7CEA243A" w14:textId="77777777" w:rsidR="002C423C" w:rsidRPr="00FA0740" w:rsidRDefault="002C423C" w:rsidP="002C423C">
      <w:pPr>
        <w:spacing w:line="360" w:lineRule="auto"/>
        <w:jc w:val="center"/>
        <w:rPr>
          <w:rFonts w:cs="Times New Roman"/>
          <w:sz w:val="24"/>
          <w:szCs w:val="24"/>
        </w:rPr>
      </w:pPr>
      <w:r w:rsidRPr="00FA0740">
        <w:rPr>
          <w:rFonts w:cs="Times New Roman"/>
          <w:b/>
          <w:bCs/>
          <w:sz w:val="24"/>
          <w:szCs w:val="24"/>
        </w:rPr>
        <w:t>DR ANITADAVAMANI K</w:t>
      </w:r>
    </w:p>
    <w:p w14:paraId="3D7CBDDB" w14:textId="77777777" w:rsidR="002C423C" w:rsidRPr="00FA0740" w:rsidRDefault="002C423C" w:rsidP="002C423C">
      <w:pPr>
        <w:spacing w:line="360" w:lineRule="auto"/>
        <w:jc w:val="center"/>
        <w:rPr>
          <w:rFonts w:cs="Times New Roman"/>
          <w:sz w:val="24"/>
          <w:szCs w:val="24"/>
        </w:rPr>
      </w:pPr>
      <w:r w:rsidRPr="00FA0740">
        <w:rPr>
          <w:rFonts w:cs="Times New Roman"/>
          <w:b/>
          <w:bCs/>
          <w:sz w:val="24"/>
          <w:szCs w:val="24"/>
        </w:rPr>
        <w:t>SIMATS ENGINEERING</w:t>
      </w:r>
    </w:p>
    <w:p w14:paraId="758C4CE7" w14:textId="77777777" w:rsidR="002C423C" w:rsidRPr="00FA0740" w:rsidRDefault="002C423C" w:rsidP="002C423C">
      <w:pPr>
        <w:spacing w:line="360" w:lineRule="auto"/>
        <w:jc w:val="center"/>
        <w:rPr>
          <w:rFonts w:cs="Times New Roman"/>
          <w:sz w:val="24"/>
          <w:szCs w:val="24"/>
        </w:rPr>
      </w:pPr>
      <w:r w:rsidRPr="00FA0740">
        <w:rPr>
          <w:rFonts w:cs="Times New Roman"/>
          <w:sz w:val="24"/>
          <w:szCs w:val="24"/>
        </w:rPr>
        <w:t>Saveetha Institute of Medical and Technical Sciences</w:t>
      </w:r>
    </w:p>
    <w:p w14:paraId="226F2BA9" w14:textId="77777777" w:rsidR="002C423C" w:rsidRPr="00FA0740" w:rsidRDefault="002C423C" w:rsidP="002C423C">
      <w:pPr>
        <w:spacing w:line="360" w:lineRule="auto"/>
        <w:jc w:val="center"/>
        <w:rPr>
          <w:rFonts w:cs="Times New Roman"/>
          <w:sz w:val="24"/>
          <w:szCs w:val="24"/>
        </w:rPr>
      </w:pPr>
      <w:r w:rsidRPr="00FA0740">
        <w:rPr>
          <w:rFonts w:cs="Times New Roman"/>
          <w:sz w:val="24"/>
          <w:szCs w:val="24"/>
        </w:rPr>
        <w:t>Chennai — 602105</w:t>
      </w:r>
    </w:p>
    <w:p w14:paraId="0903D572" w14:textId="10ABEE8C" w:rsidR="002C423C" w:rsidRDefault="002C423C" w:rsidP="002C423C">
      <w:pPr>
        <w:spacing w:line="360" w:lineRule="auto"/>
        <w:jc w:val="center"/>
        <w:rPr>
          <w:rFonts w:cs="Times New Roman"/>
          <w:b/>
          <w:bCs/>
          <w:sz w:val="24"/>
          <w:szCs w:val="24"/>
        </w:rPr>
      </w:pPr>
      <w:r w:rsidRPr="00FA0740">
        <w:rPr>
          <w:rFonts w:cs="Times New Roman"/>
          <w:b/>
          <w:bCs/>
          <w:sz w:val="24"/>
          <w:szCs w:val="24"/>
        </w:rPr>
        <w:t>Aug 2026</w:t>
      </w:r>
    </w:p>
    <w:p w14:paraId="0EC0DEB3" w14:textId="77777777" w:rsidR="002C423C" w:rsidRPr="002C423C" w:rsidRDefault="002C423C" w:rsidP="002C423C">
      <w:pPr>
        <w:spacing w:line="360" w:lineRule="auto"/>
        <w:jc w:val="center"/>
        <w:rPr>
          <w:rFonts w:cs="Times New Roman"/>
          <w:sz w:val="24"/>
          <w:szCs w:val="24"/>
        </w:rPr>
      </w:pPr>
    </w:p>
    <w:p w14:paraId="32223674" w14:textId="77777777" w:rsidR="002C423C" w:rsidRPr="002C423C" w:rsidRDefault="002C423C" w:rsidP="002C423C">
      <w:pPr>
        <w:spacing w:line="360" w:lineRule="auto"/>
        <w:jc w:val="both"/>
        <w:rPr>
          <w:rFonts w:cs="Times New Roman"/>
          <w:color w:val="000000" w:themeColor="text1"/>
        </w:rPr>
      </w:pPr>
    </w:p>
    <w:p w14:paraId="4DAA6A23" w14:textId="77777777" w:rsidR="002C423C" w:rsidRDefault="002C423C" w:rsidP="002C423C">
      <w:pPr>
        <w:spacing w:line="360" w:lineRule="auto"/>
        <w:jc w:val="both"/>
        <w:rPr>
          <w:rFonts w:cs="Times New Roman"/>
          <w:color w:val="000000" w:themeColor="text1"/>
        </w:rPr>
      </w:pPr>
    </w:p>
    <w:p w14:paraId="00A1D348" w14:textId="77777777" w:rsidR="002C423C" w:rsidRDefault="002C423C" w:rsidP="002C423C">
      <w:pPr>
        <w:spacing w:line="360" w:lineRule="auto"/>
        <w:jc w:val="both"/>
        <w:rPr>
          <w:rFonts w:cs="Times New Roman"/>
          <w:color w:val="000000" w:themeColor="text1"/>
        </w:rPr>
      </w:pPr>
    </w:p>
    <w:p w14:paraId="618759AE" w14:textId="5B331725"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1. Introduction and Industry Context</w:t>
      </w:r>
    </w:p>
    <w:p w14:paraId="20884E6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Medication adherence refers to the extent to which a patient takes medicines according to the agreed prescription and instructions. It is especially important for older adults because ageing is frequently accompanied by multimorbidity, polypharmacy, cognitive changes, sensory limitations, and complex dosing schedules. Recent reviews consistently identify medication adherence as a multifactorial problem rather than a problem that can be solved by reminders alone.</w:t>
      </w:r>
    </w:p>
    <w:p w14:paraId="2835090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1.1 Industry Context</w:t>
      </w:r>
    </w:p>
    <w:p w14:paraId="15A9420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healthcare sector is increasingly moving from episodic, hospital-centred care toward preventive, community-based, and remote-care models. Older adults who live independently may receive limited day-to-day supervision, while family members or professional caregivers may live in another home or another city. Digital health technologies can create a communication bridge by recording medication schedules, prompting patients, detecting missed doses, and communicating adherence information to authorised caregivers.</w:t>
      </w:r>
    </w:p>
    <w:p w14:paraId="19575F5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recent systematic review focused specifically on older adults aged 65 years and above found that digital health interventions showed mixed but promising results. Among 35 included studies, nearly half reported improved adherence, with tailored reminders, multicomponent interventions, and interactive features appearing more promising than information-only tools [1]. Another 2026 systematic review of mHealth interventions reported that 6 of 8 included randomized trials showed significantly higher medication adherence in mHealth groups, while also emphasizing the need for larger and longer studies [2].</w:t>
      </w:r>
    </w:p>
    <w:p w14:paraId="47F0463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1.2 Problem Context</w:t>
      </w:r>
    </w:p>
    <w:p w14:paraId="67C1C69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Older adults may forget doses or confuse medicines when several prescriptions are taken each day.</w:t>
      </w:r>
    </w:p>
    <w:p w14:paraId="0FECE50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Paper schedules and conventional pill organizers do not provide remote visibility to caregivers.</w:t>
      </w:r>
    </w:p>
    <w:p w14:paraId="0E1A0FC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reminder alone does not prove that a medication was actually taken.</w:t>
      </w:r>
    </w:p>
    <w:p w14:paraId="18DC633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Missed-dose information may reach caregivers too late to support timely action.</w:t>
      </w:r>
    </w:p>
    <w:p w14:paraId="59D8177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Some medication apps are difficult for older adults because of small text, complex navigation, or unfamiliar terminology.</w:t>
      </w:r>
    </w:p>
    <w:p w14:paraId="5209172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Medication management must balance usability, safety, privacy, caregiver access, and clinical appropriateness.</w:t>
      </w:r>
    </w:p>
    <w:p w14:paraId="41CB2F9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1.3 Need for the Proposed System</w:t>
      </w:r>
    </w:p>
    <w:p w14:paraId="2AED21E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proposed Medication Adherence Tracker should therefore combine an elderly-friendly patient interface with a caregiver dashboard, scheduled reminders, dose confirmation, missed-dose detection, escalation alerts, refill reminders, and secure access. The literature suggests that the strongest opportunity is not a single reminder feature but a coordinated system that combines reminders, monitoring, human support, and usability-oriented design.</w:t>
      </w:r>
    </w:p>
    <w:p w14:paraId="6639516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3FF5FEF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2. Literature Survey Methodology</w:t>
      </w:r>
    </w:p>
    <w:p w14:paraId="5B433C4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This survey was structured around the assigned problem statement: designing a simple medication adherence platform for elderly patients that supports complex medication schedules and provides real-time caregiver alerts. The review considers research on mobile health applications, electronic medication dispensers, smart pillboxes, ambient reminder systems, medication-management usability, caregiver involvement, and recent systematic reviews.</w:t>
      </w:r>
    </w:p>
    <w:p w14:paraId="3D6CFF0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2.1 Review Questions</w:t>
      </w:r>
    </w:p>
    <w:p w14:paraId="1980C46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What technologies have been used to improve medication adherence among older adults?</w:t>
      </w:r>
    </w:p>
    <w:p w14:paraId="7BFC605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Which reminder and monitoring approaches have demonstrated measurable benefits?</w:t>
      </w:r>
    </w:p>
    <w:p w14:paraId="1C09B6A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How have researchers addressed usability for older adults?</w:t>
      </w:r>
    </w:p>
    <w:p w14:paraId="3BB15A5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What role can caregivers play in digital medication management?</w:t>
      </w:r>
    </w:p>
    <w:p w14:paraId="1DE4B45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What limitations remain in existing solutions?</w:t>
      </w:r>
    </w:p>
    <w:p w14:paraId="69E778E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Which research gaps can guide the proposed Medication Adherence Tracker?</w:t>
      </w:r>
    </w:p>
    <w:p w14:paraId="7015DCB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2.2 Evidence Sources and Selection Logic</w:t>
      </w:r>
    </w:p>
    <w:p w14:paraId="11C1CF3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literature considered in this survey was identified primarily through PubMed, JMIR, and peer-reviewed open-access research. Priority was given to systematic reviews, randomized or feasibility trials, usability studies, and studies involving older adults, chronic disease, polypharmacy, electronic medication management, or caregiver support. Recent evidence from 2025–2026 was included where available so that the discussion reflects the current digital-health research landscape.</w:t>
      </w:r>
    </w:p>
    <w:p w14:paraId="533776B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2.3 Evaluation Parameters</w:t>
      </w:r>
    </w:p>
    <w:p w14:paraId="11D2A02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Medication adherence: dose-taking rate, adherence score, or medication possession measures.</w:t>
      </w:r>
    </w:p>
    <w:p w14:paraId="5857B9A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Usability: simplicity, learnability, System Usability Scale (SUS), workload, and user satisfaction.</w:t>
      </w:r>
    </w:p>
    <w:p w14:paraId="387B588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Monitoring: ability to record dose events and detect missed doses.</w:t>
      </w:r>
    </w:p>
    <w:p w14:paraId="6EFFE05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Caregiver support: remote visibility, notifications, and escalation.</w:t>
      </w:r>
    </w:p>
    <w:p w14:paraId="694F989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Scalability: suitability for many patients, multiple caregivers, and integration with healthcare services.</w:t>
      </w:r>
    </w:p>
    <w:p w14:paraId="2D9DD14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Safety and privacy: authentication, authorization, secure handling of health information, and avoidance of unsafe clinical assumptions.</w:t>
      </w:r>
    </w:p>
    <w:p w14:paraId="1A71F39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Sustainability: long-term use, user engagement, cost, and feasibility in real-world settings.</w:t>
      </w:r>
    </w:p>
    <w:p w14:paraId="209A080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2.4 Overall Finding from the Literature</w:t>
      </w:r>
    </w:p>
    <w:p w14:paraId="50329BC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literature indicates that technology can improve medication-taking behaviour, but effectiveness is inconsistent. Interventions tend to be more useful when they are tailored to users, combine several support mechanisms, and include a human or caregiver component. This directly supports the proposed architecture of a patient reminder system connected to a caregiver alert and monitoring layer.</w:t>
      </w:r>
    </w:p>
    <w:p w14:paraId="40900E9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718BBD9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3. Review of Research Papers I</w:t>
      </w:r>
    </w:p>
    <w:p w14:paraId="18F65AA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3.1 Grindrod et al. (2014) – Usability of Mobile Medication Management Applications</w:t>
      </w:r>
    </w:p>
    <w:p w14:paraId="3E005CB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Grindrod and colleagues evaluated four medication-management applications with 35 adults aged 50 years and older. Participants used an iPad-based testing setup and assessed the applications using the System Usability Scale and qualitative discussion [3].</w:t>
      </w:r>
    </w:p>
    <w:p w14:paraId="2EF173C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Objective: To determine whether existing medication-management applications were usable and useful for older adults.</w:t>
      </w:r>
    </w:p>
    <w:p w14:paraId="7FF2917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Methodology and technology: Controlled usability sessions, SUS scoring, visual-analogue ratings, and grounded-theory analysis of participant discussions.</w:t>
      </w:r>
    </w:p>
    <w:p w14:paraId="17C2B68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Major findings: Participants could learn to use medication applications with training, but initial experiences were often frustrating. Clear wording and linear navigation were preferred. The authors concluded that older adults should be involved in design and that multimodal reminders may improve usability.</w:t>
      </w:r>
    </w:p>
    <w:p w14:paraId="23E22E0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The study examined usability rather than long-term clinical effectiveness, and participants were adults aged 50+ rather than exclusively 65+.</w:t>
      </w:r>
    </w:p>
    <w:p w14:paraId="370D284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 xml:space="preserve">Relevance to proposed system: </w:t>
      </w:r>
      <w:proofErr w:type="gramStart"/>
      <w:r w:rsidRPr="002C423C">
        <w:rPr>
          <w:rFonts w:cs="Times New Roman"/>
          <w:color w:val="000000" w:themeColor="text1"/>
        </w:rPr>
        <w:t>Large</w:t>
      </w:r>
      <w:proofErr w:type="gramEnd"/>
      <w:r w:rsidRPr="002C423C">
        <w:rPr>
          <w:rFonts w:cs="Times New Roman"/>
          <w:color w:val="000000" w:themeColor="text1"/>
        </w:rPr>
        <w:t xml:space="preserve"> text, clear icons, minimal navigation, consistent terminology, and multimodal reminders should be treated as core requirements rather than optional interface improvements.</w:t>
      </w:r>
    </w:p>
    <w:p w14:paraId="0ECEDBD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3.2 Boyd et al. (2020) – Mobile App-Based Medication Adherence Intervention</w:t>
      </w:r>
    </w:p>
    <w:p w14:paraId="30D3F1B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Boyd et al. evaluated an educational medication-adherence mobile application in a multisite randomized feasibility trial involving older adults. The intervention used a mobile app to provide medication-related education and support [4].</w:t>
      </w:r>
    </w:p>
    <w:p w14:paraId="4DEBC41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Objective: To examine the feasibility of a mobile intervention for improving medication adherence in an older population.</w:t>
      </w:r>
    </w:p>
    <w:p w14:paraId="68CE169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Methodology and technology: Multisite randomized feasibility design using a smartphone-based educational application, with adherence and feasibility outcomes.</w:t>
      </w:r>
    </w:p>
    <w:p w14:paraId="4546A60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Major finding: The study demonstrated that a mobile platform can be used to deliver medication-related adherence support to older adults, but feasibility evidence alone does not establish that every digital feature will produce long-term adherence gains.</w:t>
      </w:r>
    </w:p>
    <w:p w14:paraId="425D4E3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Feasibility studies generally involve limited sample sizes and follow-up; the effect of an educational app may also differ from the effect of a real-time caregiver-alert platform.</w:t>
      </w:r>
    </w:p>
    <w:p w14:paraId="108D5EE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Relevance: The proposed tracker should combine education and reminders with actual dose-event monitoring and caregiver escalation, rather than relying on educational content alone.</w:t>
      </w:r>
    </w:p>
    <w:p w14:paraId="1A7DB69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3.3 Ambient Display Study – External Cues and Caregiver Involvement</w:t>
      </w:r>
    </w:p>
    <w:p w14:paraId="63D31C1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2020 JMIR feasibility randomized controlled trial studied an ambient medication-adherence display with 16 older adults who took at least three medications and had mild cognitive impairment [5].</w:t>
      </w:r>
    </w:p>
    <w:p w14:paraId="34EA938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treatment group increased adherence from 80.9% at baseline to 95.97% during the intervention. The most useful cues were auditory reminders and visual representations of adherence. Importantly, the system also mediated family caregiver involvement.</w:t>
      </w:r>
    </w:p>
    <w:p w14:paraId="26295ED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The sample was small and the improvement declined after the intervention was removed, showing that sustained support and integration into everyday routines remain important.</w:t>
      </w:r>
    </w:p>
    <w:p w14:paraId="63F6333C" w14:textId="0EDC5724"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Design implication: The proposed system should support audible/visual reminders and caregiver awareness while avoiding an interface that requires extensive interaction.</w:t>
      </w:r>
      <w:r w:rsidRPr="002C423C">
        <w:rPr>
          <w:rFonts w:cs="Times New Roman"/>
          <w:color w:val="000000" w:themeColor="text1"/>
        </w:rPr>
        <w:br w:type="page"/>
      </w:r>
    </w:p>
    <w:p w14:paraId="771873B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4. Review of Research Papers II</w:t>
      </w:r>
    </w:p>
    <w:p w14:paraId="001B208D"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4.1 Electronic Medication Dispensing System – Pilot RCT</w:t>
      </w:r>
    </w:p>
    <w:p w14:paraId="2BBC6D3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pilot randomized controlled trial evaluated an in-home electronic medication dispensing system among adults aged 50 years and older with chronic conditions who were taking five or more oral medications [6].</w:t>
      </w:r>
    </w:p>
    <w:p w14:paraId="76B655A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Methodology: Participants were randomized to an electronic medication dispensing system or their existing medication-management method. Medication adherence was continuously captured for six months.</w:t>
      </w:r>
    </w:p>
    <w:p w14:paraId="4C0005B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Major finding: Recorded adherence over 26 weeks was significantly higher in the intervention group (98.35% versus 91.17%). The study concluded that an electronic dispensing system can support consistency in medication-taking behaviour.</w:t>
      </w:r>
    </w:p>
    <w:p w14:paraId="37E8EE1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Strength: Continuous monitoring over six months provides stronger evidence than a short usability test.</w:t>
      </w:r>
    </w:p>
    <w:p w14:paraId="7E01C3C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The intervention depends on a physical dispensing device and therefore has cost, maintenance, setup, and deployment considerations.</w:t>
      </w:r>
    </w:p>
    <w:p w14:paraId="24C1E0E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Relevance: The proposed software platform can adopt the same principle of event-based monitoring while remaining usable with smartphones, simple confirmation methods, or optional connected dispensing devices.</w:t>
      </w:r>
    </w:p>
    <w:p w14:paraId="3CDDA56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4.2 Patel et al. (2022) – Smart Medication Dispenser and Caregiver Support</w:t>
      </w:r>
    </w:p>
    <w:p w14:paraId="1E1F560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Patel and colleagues conducted a six-month prospective observational study of a smart medication dispenser connected to a digital adherence platform. The study involved 58 community-dwelling adults and caregivers [7].</w:t>
      </w:r>
    </w:p>
    <w:p w14:paraId="333537A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Major findings: Average monthly adherence was reported at 98%, while the device achieved a high mean SUS score of 85.74. Most participants described the product as easy and simple to use. Caregiver burden also changed significantly after use.</w:t>
      </w:r>
    </w:p>
    <w:p w14:paraId="1BA57A2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Contribution: This paper is especially relevant because it connects medication adherence technology with caregiver support rather than treating the patient as the only user.</w:t>
      </w:r>
    </w:p>
    <w:p w14:paraId="364B2A1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The study was observational rather than a large randomized controlled trial, so causal conclusions should be made cautiously.</w:t>
      </w:r>
    </w:p>
    <w:p w14:paraId="7C9B8A7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Relevance: The proposed system should have two connected roles: a patient-facing interface for confirmation and a caregiver-facing dashboard for adherence history, missed-dose alerts, and escalation.</w:t>
      </w:r>
    </w:p>
    <w:p w14:paraId="761C526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4.3 Smart Multidose Blister Package Study</w:t>
      </w:r>
    </w:p>
    <w:p w14:paraId="3791D21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mixed-method study of a smart multidose blister package involved ten older adults with an average age of 76 years and an average of 11.1 medications [8]. Participants considered the product easy to use and acceptable, but researchers also identified barriers and facilitators that influenced adoption.</w:t>
      </w:r>
    </w:p>
    <w:p w14:paraId="7034CD3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study demonstrates that medication technology must fit the patient's established routines. Even a technically effective device can fail if it creates additional workload or conflicts with existing medication practices.</w:t>
      </w:r>
    </w:p>
    <w:p w14:paraId="34B268B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Design implication: onboarding should be simple, caregivers should be able to configure schedules, and the patient should need only a small number of actions to confirm a dose.</w:t>
      </w:r>
    </w:p>
    <w:p w14:paraId="3B67056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7A45FAC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5. Review of Research Papers III</w:t>
      </w:r>
    </w:p>
    <w:p w14:paraId="69B1B7D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5.1 Electronic Medication Organizer with Alarm</w:t>
      </w:r>
    </w:p>
    <w:p w14:paraId="61E7C64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prospective before-and-after study in Brazil evaluated an electronic medication organizer with an alarm among 32 older adults with hypertension [9]. Before the intervention, 81.2% were categorized as less adherent; after the intervention, 96.9% were categorized as more adherent, with a statistically significant change.</w:t>
      </w:r>
    </w:p>
    <w:p w14:paraId="13AF14C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Contribution: The study supports the usefulness of simple electronic alarms for older adults and shows that low-complexity technology can be valuable.</w:t>
      </w:r>
    </w:p>
    <w:p w14:paraId="3EBBB3A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The design was not a randomized controlled trial, and the intervention focused on a particular clinical population.</w:t>
      </w:r>
    </w:p>
    <w:p w14:paraId="41E73C4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Relevance: The proposed system should not assume that advanced AI is necessary for every patient. Reliable, simple reminders may provide substantial value, especially when combined with escalation.</w:t>
      </w:r>
    </w:p>
    <w:p w14:paraId="5F00FF6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5.2 Fookkun Smart Pill Dispenser and Personal Health Records</w:t>
      </w:r>
    </w:p>
    <w:p w14:paraId="445323C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2024 report described a smart pill dispenser used by a 71-year-old woman with diabetes living at home. The device produced alerts at medication times, recorded medication history, and alerted a designated contact when a dose was missed [10].</w:t>
      </w:r>
    </w:p>
    <w:p w14:paraId="449071D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Contribution: The architecture closely resembles the assigned problem: medication reminders, dose history, a health record, and a designated caregiver/contact alert.</w:t>
      </w:r>
    </w:p>
    <w:p w14:paraId="746B47A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It was a single-patient study, so generalizability is limited.</w:t>
      </w:r>
    </w:p>
    <w:p w14:paraId="52A98F2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Relevance: The proposed system can generalize this concept into a multi-user platform with configurable caregivers, escalation thresholds, refill reminders, and secure access.</w:t>
      </w:r>
    </w:p>
    <w:p w14:paraId="4DE5231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5.3 Smart Pillbox Acceptability Study</w:t>
      </w:r>
    </w:p>
    <w:p w14:paraId="6A7FAFA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primary-care study involving 344 participants who needed daily oral medications found that 49.1% had previously missed a dose accidentally and 70.6% were willing to use a smart pillbox if provided free of charge [11].</w:t>
      </w:r>
    </w:p>
    <w:p w14:paraId="3F82570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Contribution: Acceptance and perceived usefulness are important adoption factors. A technology may be clinically promising but still fail if patients do not see a clear benefit or if it is difficult to use.</w:t>
      </w:r>
    </w:p>
    <w:p w14:paraId="0651C50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Limitation: Willingness to use a device is not equivalent to sustained real-world use or improved clinical outcomes.</w:t>
      </w:r>
    </w:p>
    <w:p w14:paraId="0A01097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Design implication: The proposed system should demonstrate an immediate practical benefit, provide simple onboarding, and avoid unnecessary features that increase cognitive or interaction burden.</w:t>
      </w:r>
    </w:p>
    <w:p w14:paraId="64D6001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5.4 REMIND Trial – Reminder Devices</w:t>
      </w:r>
    </w:p>
    <w:p w14:paraId="00CE399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large REMIND randomized clinical trial tested several reminder devices and did not find a meaningful overall improvement in medication adherence compared with control [12].</w:t>
      </w:r>
    </w:p>
    <w:p w14:paraId="02850BE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Importance: This negative or null result is critical because it shows that reminders alone are not universally effective.</w:t>
      </w:r>
    </w:p>
    <w:p w14:paraId="4526B54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Implication: The proposed system should go beyond a notification. It should record confirmation, identify non-response, notify a caregiver after a configurable threshold, and support follow-up. This converts a passive reminder into a closed-loop adherence workflow.</w:t>
      </w:r>
    </w:p>
    <w:p w14:paraId="790421C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2E91233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6. Recent Systematic Reviews and Evidence Synthesis</w:t>
      </w:r>
    </w:p>
    <w:p w14:paraId="10FFDC5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6.1 Digital Health Interventions Among Older Adults – 2026 Review</w:t>
      </w:r>
    </w:p>
    <w:p w14:paraId="42B5427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2026 systematic review included 35 studies, of which 22 were randomized controlled trials, examining digital health interventions for medication adherence among adults aged 65 years and older [1]. Nearly half of the studies reported improvement. Mobile apps, electronic reminders, combined interventions, telenursing, and socially assistive technologies showed promise, while results across interventions remained heterogeneous.</w:t>
      </w:r>
    </w:p>
    <w:p w14:paraId="3EC3739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review concluded that tailored reminders, multicomponent strategies, and interactive features may be more effective than information alone. It also emphasized the need for long-term evaluations and better understanding of actual usage patterns.</w:t>
      </w:r>
    </w:p>
    <w:p w14:paraId="6B35858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6.2 2026 Review of mHealth for Older Adults with Chronic Disease</w:t>
      </w:r>
    </w:p>
    <w:p w14:paraId="7F51401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second recent systematic review assessed randomized controlled trials of mHealth for medication adherence among older adults with chronic diseases [2]. Six of eight included trials reported significantly higher adherence in the mHealth group. The review nevertheless highlighted limitations in study quality, sample size, follow-up duration, and generalizability.</w:t>
      </w:r>
    </w:p>
    <w:p w14:paraId="6B13E84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Implication: The proposed project should be evaluated with measurable adherence outcomes and usability metrics rather than relying only on successful software implementation.</w:t>
      </w:r>
    </w:p>
    <w:p w14:paraId="75C1C6D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6.3 Review of Medication Reminder Technologies</w:t>
      </w:r>
    </w:p>
    <w:p w14:paraId="25F7614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2026 systematic review examined medication reminder technologies for home-dwelling older citizens and synthesized 43 original studies plus nine systematic reviews [13]. Beneficial effects were observed for some health outcomes, but significant effects on patient/carer experience and cost-effectiveness were not consistently established.</w:t>
      </w:r>
    </w:p>
    <w:p w14:paraId="1E5CD6C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Implication: A future evaluation of the proposed platform should measure not only adherence but also caregiver workload, user satisfaction, alert burden, cost, and sustained use.</w:t>
      </w:r>
    </w:p>
    <w:p w14:paraId="6AA7C01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6.4 Review of Online Medication Support Tools</w:t>
      </w:r>
    </w:p>
    <w:p w14:paraId="4082317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systematic review of online medication support tools for people aged 65 years and older or their informal caregivers identified 29 eligible studies. More than 80% of the tools were mobile health apps or websites, and user-centred design was the most common development approach [14].</w:t>
      </w:r>
    </w:p>
    <w:p w14:paraId="5DB071A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Implication: The proposed system should involve elderly users and caregivers during requirements analysis, prototype testing, usability evaluation, and iterative improvement.</w:t>
      </w:r>
    </w:p>
    <w:p w14:paraId="5505023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6.5 Overall Interpretation</w:t>
      </w:r>
    </w:p>
    <w:p w14:paraId="3C31C23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Across the literature, no single technology is consistently superior. The most defensible design direction is a multicomponent system: simple reminders + dose confirmation + missed-dose detection + caregiver notification + escalation + refill support + secure access. The platform should also permit configuration according to patient capability, medication complexity, and caregiver availability.</w:t>
      </w:r>
    </w:p>
    <w:p w14:paraId="5BF42BC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413FE71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7. Comparative Literature Survey Table</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282680" w:rsidRPr="002C423C" w14:paraId="673E58B4" w14:textId="77777777">
        <w:trPr>
          <w:jc w:val="center"/>
        </w:trPr>
        <w:tc>
          <w:tcPr>
            <w:tcW w:w="1419" w:type="dxa"/>
            <w:vAlign w:val="center"/>
          </w:tcPr>
          <w:p w14:paraId="4B91B5AC"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Author/Year</w:t>
            </w:r>
          </w:p>
        </w:tc>
        <w:tc>
          <w:tcPr>
            <w:tcW w:w="1419" w:type="dxa"/>
            <w:vAlign w:val="center"/>
          </w:tcPr>
          <w:p w14:paraId="2FF37089"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Research Problem</w:t>
            </w:r>
          </w:p>
        </w:tc>
        <w:tc>
          <w:tcPr>
            <w:tcW w:w="1419" w:type="dxa"/>
            <w:vAlign w:val="center"/>
          </w:tcPr>
          <w:p w14:paraId="29310493"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Methodology</w:t>
            </w:r>
          </w:p>
        </w:tc>
        <w:tc>
          <w:tcPr>
            <w:tcW w:w="1419" w:type="dxa"/>
            <w:vAlign w:val="center"/>
          </w:tcPr>
          <w:p w14:paraId="588935D8"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Technology / Dataset</w:t>
            </w:r>
          </w:p>
        </w:tc>
        <w:tc>
          <w:tcPr>
            <w:tcW w:w="1419" w:type="dxa"/>
            <w:vAlign w:val="center"/>
          </w:tcPr>
          <w:p w14:paraId="22E39363"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Key Findings</w:t>
            </w:r>
          </w:p>
        </w:tc>
        <w:tc>
          <w:tcPr>
            <w:tcW w:w="1419" w:type="dxa"/>
            <w:vAlign w:val="center"/>
          </w:tcPr>
          <w:p w14:paraId="0F99F05E"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Limitations</w:t>
            </w:r>
          </w:p>
        </w:tc>
        <w:tc>
          <w:tcPr>
            <w:tcW w:w="1419" w:type="dxa"/>
            <w:vAlign w:val="center"/>
          </w:tcPr>
          <w:p w14:paraId="1FA710DB" w14:textId="77777777" w:rsidR="00282680" w:rsidRPr="002C423C" w:rsidRDefault="00000000" w:rsidP="002C423C">
            <w:pPr>
              <w:spacing w:line="360" w:lineRule="auto"/>
              <w:jc w:val="both"/>
              <w:rPr>
                <w:rFonts w:cs="Times New Roman"/>
                <w:color w:val="000000" w:themeColor="text1"/>
              </w:rPr>
            </w:pPr>
            <w:r w:rsidRPr="002C423C">
              <w:rPr>
                <w:rFonts w:cs="Times New Roman"/>
                <w:b/>
                <w:color w:val="000000" w:themeColor="text1"/>
                <w:sz w:val="15"/>
              </w:rPr>
              <w:t>Research Gap</w:t>
            </w:r>
          </w:p>
        </w:tc>
      </w:tr>
      <w:tr w:rsidR="00282680" w:rsidRPr="002C423C" w14:paraId="44E6D32E" w14:textId="77777777">
        <w:trPr>
          <w:jc w:val="center"/>
        </w:trPr>
        <w:tc>
          <w:tcPr>
            <w:tcW w:w="1419" w:type="dxa"/>
            <w:vAlign w:val="center"/>
          </w:tcPr>
          <w:p w14:paraId="5DDDE59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Grindrod et al., 2014 [3]</w:t>
            </w:r>
          </w:p>
        </w:tc>
        <w:tc>
          <w:tcPr>
            <w:tcW w:w="1419" w:type="dxa"/>
            <w:vAlign w:val="center"/>
          </w:tcPr>
          <w:p w14:paraId="24BE3A9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Usability of medication apps for older users</w:t>
            </w:r>
          </w:p>
        </w:tc>
        <w:tc>
          <w:tcPr>
            <w:tcW w:w="1419" w:type="dxa"/>
            <w:vAlign w:val="center"/>
          </w:tcPr>
          <w:p w14:paraId="30DA46B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Usability test + SUS + qualitative analysis</w:t>
            </w:r>
          </w:p>
        </w:tc>
        <w:tc>
          <w:tcPr>
            <w:tcW w:w="1419" w:type="dxa"/>
            <w:vAlign w:val="center"/>
          </w:tcPr>
          <w:p w14:paraId="40D7932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4 mobile medication apps; 35 adults 50+</w:t>
            </w:r>
          </w:p>
        </w:tc>
        <w:tc>
          <w:tcPr>
            <w:tcW w:w="1419" w:type="dxa"/>
            <w:vAlign w:val="center"/>
          </w:tcPr>
          <w:p w14:paraId="293418C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Simple, linear interfaces preferred</w:t>
            </w:r>
          </w:p>
        </w:tc>
        <w:tc>
          <w:tcPr>
            <w:tcW w:w="1419" w:type="dxa"/>
            <w:vAlign w:val="center"/>
          </w:tcPr>
          <w:p w14:paraId="4EA66DB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Small usability study; not clinical effectiveness</w:t>
            </w:r>
          </w:p>
        </w:tc>
        <w:tc>
          <w:tcPr>
            <w:tcW w:w="1419" w:type="dxa"/>
            <w:vAlign w:val="center"/>
          </w:tcPr>
          <w:p w14:paraId="61CB076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elderly-centred design and multimodal interaction</w:t>
            </w:r>
          </w:p>
        </w:tc>
      </w:tr>
      <w:tr w:rsidR="00282680" w:rsidRPr="002C423C" w14:paraId="22D51D96" w14:textId="77777777">
        <w:trPr>
          <w:jc w:val="center"/>
        </w:trPr>
        <w:tc>
          <w:tcPr>
            <w:tcW w:w="1419" w:type="dxa"/>
            <w:vAlign w:val="center"/>
          </w:tcPr>
          <w:p w14:paraId="6640555D"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Boyd et al., 2020 [4]</w:t>
            </w:r>
          </w:p>
        </w:tc>
        <w:tc>
          <w:tcPr>
            <w:tcW w:w="1419" w:type="dxa"/>
            <w:vAlign w:val="center"/>
          </w:tcPr>
          <w:p w14:paraId="4D17BFD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Mobile support for adherence</w:t>
            </w:r>
          </w:p>
        </w:tc>
        <w:tc>
          <w:tcPr>
            <w:tcW w:w="1419" w:type="dxa"/>
            <w:vAlign w:val="center"/>
          </w:tcPr>
          <w:p w14:paraId="2327093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Multisite randomized feasibility trial</w:t>
            </w:r>
          </w:p>
        </w:tc>
        <w:tc>
          <w:tcPr>
            <w:tcW w:w="1419" w:type="dxa"/>
            <w:vAlign w:val="center"/>
          </w:tcPr>
          <w:p w14:paraId="2B98B38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Medication education mobile app</w:t>
            </w:r>
          </w:p>
        </w:tc>
        <w:tc>
          <w:tcPr>
            <w:tcW w:w="1419" w:type="dxa"/>
            <w:vAlign w:val="center"/>
          </w:tcPr>
          <w:p w14:paraId="1C2D3A1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Demonstrated feasibility of mobile intervention</w:t>
            </w:r>
          </w:p>
        </w:tc>
        <w:tc>
          <w:tcPr>
            <w:tcW w:w="1419" w:type="dxa"/>
            <w:vAlign w:val="center"/>
          </w:tcPr>
          <w:p w14:paraId="0E1B10C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Feasibility focus; limited generalization</w:t>
            </w:r>
          </w:p>
        </w:tc>
        <w:tc>
          <w:tcPr>
            <w:tcW w:w="1419" w:type="dxa"/>
            <w:vAlign w:val="center"/>
          </w:tcPr>
          <w:p w14:paraId="3F5E61A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closed-loop monitoring and caregiver alerts</w:t>
            </w:r>
          </w:p>
        </w:tc>
      </w:tr>
      <w:tr w:rsidR="00282680" w:rsidRPr="002C423C" w14:paraId="25A0B132" w14:textId="77777777">
        <w:trPr>
          <w:jc w:val="center"/>
        </w:trPr>
        <w:tc>
          <w:tcPr>
            <w:tcW w:w="1419" w:type="dxa"/>
            <w:vAlign w:val="center"/>
          </w:tcPr>
          <w:p w14:paraId="64DCB5C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Mendoza et al., 2020 [5]</w:t>
            </w:r>
          </w:p>
        </w:tc>
        <w:tc>
          <w:tcPr>
            <w:tcW w:w="1419" w:type="dxa"/>
            <w:vAlign w:val="center"/>
          </w:tcPr>
          <w:p w14:paraId="02361BD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External cues for older adults</w:t>
            </w:r>
          </w:p>
        </w:tc>
        <w:tc>
          <w:tcPr>
            <w:tcW w:w="1419" w:type="dxa"/>
            <w:vAlign w:val="center"/>
          </w:tcPr>
          <w:p w14:paraId="70D6AF5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Feasibility RCT + mixed methods</w:t>
            </w:r>
          </w:p>
        </w:tc>
        <w:tc>
          <w:tcPr>
            <w:tcW w:w="1419" w:type="dxa"/>
            <w:vAlign w:val="center"/>
          </w:tcPr>
          <w:p w14:paraId="77118B3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Ambient display; 16 older adults</w:t>
            </w:r>
          </w:p>
        </w:tc>
        <w:tc>
          <w:tcPr>
            <w:tcW w:w="1419" w:type="dxa"/>
            <w:vAlign w:val="center"/>
          </w:tcPr>
          <w:p w14:paraId="7716185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Adherence increased during intervention; caregiver involvement supported</w:t>
            </w:r>
          </w:p>
        </w:tc>
        <w:tc>
          <w:tcPr>
            <w:tcW w:w="1419" w:type="dxa"/>
            <w:vAlign w:val="center"/>
          </w:tcPr>
          <w:p w14:paraId="25B0A25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Very small sample; effect declined after removal</w:t>
            </w:r>
          </w:p>
        </w:tc>
        <w:tc>
          <w:tcPr>
            <w:tcW w:w="1419" w:type="dxa"/>
            <w:vAlign w:val="center"/>
          </w:tcPr>
          <w:p w14:paraId="0450AA4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sustained, integrated support</w:t>
            </w:r>
          </w:p>
        </w:tc>
      </w:tr>
      <w:tr w:rsidR="00282680" w:rsidRPr="002C423C" w14:paraId="67E67586" w14:textId="77777777">
        <w:trPr>
          <w:jc w:val="center"/>
        </w:trPr>
        <w:tc>
          <w:tcPr>
            <w:tcW w:w="1419" w:type="dxa"/>
            <w:vAlign w:val="center"/>
          </w:tcPr>
          <w:p w14:paraId="20BA916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Electronic MDS RCT, 2021 [6]</w:t>
            </w:r>
          </w:p>
        </w:tc>
        <w:tc>
          <w:tcPr>
            <w:tcW w:w="1419" w:type="dxa"/>
            <w:vAlign w:val="center"/>
          </w:tcPr>
          <w:p w14:paraId="3067CAE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Chronic disease polypharmacy</w:t>
            </w:r>
          </w:p>
        </w:tc>
        <w:tc>
          <w:tcPr>
            <w:tcW w:w="1419" w:type="dxa"/>
            <w:vAlign w:val="center"/>
          </w:tcPr>
          <w:p w14:paraId="18E0784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Pilot randomized controlled trial; 6 months</w:t>
            </w:r>
          </w:p>
        </w:tc>
        <w:tc>
          <w:tcPr>
            <w:tcW w:w="1419" w:type="dxa"/>
            <w:vAlign w:val="center"/>
          </w:tcPr>
          <w:p w14:paraId="7674277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In-home electronic dispenser; 50 randomized</w:t>
            </w:r>
          </w:p>
        </w:tc>
        <w:tc>
          <w:tcPr>
            <w:tcW w:w="1419" w:type="dxa"/>
            <w:vAlign w:val="center"/>
          </w:tcPr>
          <w:p w14:paraId="611C00D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98.35% vs 91.17% recorded adherence</w:t>
            </w:r>
          </w:p>
        </w:tc>
        <w:tc>
          <w:tcPr>
            <w:tcW w:w="1419" w:type="dxa"/>
            <w:vAlign w:val="center"/>
          </w:tcPr>
          <w:p w14:paraId="0A58F985"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Small pilot; hardware dependence</w:t>
            </w:r>
          </w:p>
        </w:tc>
        <w:tc>
          <w:tcPr>
            <w:tcW w:w="1419" w:type="dxa"/>
            <w:vAlign w:val="center"/>
          </w:tcPr>
          <w:p w14:paraId="12692CC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scalable software + optional hardware</w:t>
            </w:r>
          </w:p>
        </w:tc>
      </w:tr>
      <w:tr w:rsidR="00282680" w:rsidRPr="002C423C" w14:paraId="3E0DD8E0" w14:textId="77777777">
        <w:trPr>
          <w:jc w:val="center"/>
        </w:trPr>
        <w:tc>
          <w:tcPr>
            <w:tcW w:w="1419" w:type="dxa"/>
            <w:vAlign w:val="center"/>
          </w:tcPr>
          <w:p w14:paraId="0F37833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Patel et al., 2022 [7]</w:t>
            </w:r>
          </w:p>
        </w:tc>
        <w:tc>
          <w:tcPr>
            <w:tcW w:w="1419" w:type="dxa"/>
            <w:vAlign w:val="center"/>
          </w:tcPr>
          <w:p w14:paraId="5FB210F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Adherence and caregiver support</w:t>
            </w:r>
          </w:p>
        </w:tc>
        <w:tc>
          <w:tcPr>
            <w:tcW w:w="1419" w:type="dxa"/>
            <w:vAlign w:val="center"/>
          </w:tcPr>
          <w:p w14:paraId="4D42168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6-month observational pilot</w:t>
            </w:r>
          </w:p>
        </w:tc>
        <w:tc>
          <w:tcPr>
            <w:tcW w:w="1419" w:type="dxa"/>
            <w:vAlign w:val="center"/>
          </w:tcPr>
          <w:p w14:paraId="7B67B68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Smart dispenser + AdhereNet; 58 participants</w:t>
            </w:r>
          </w:p>
        </w:tc>
        <w:tc>
          <w:tcPr>
            <w:tcW w:w="1419" w:type="dxa"/>
            <w:vAlign w:val="center"/>
          </w:tcPr>
          <w:p w14:paraId="54D21F5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98% average monthly adherence; high usability</w:t>
            </w:r>
          </w:p>
        </w:tc>
        <w:tc>
          <w:tcPr>
            <w:tcW w:w="1419" w:type="dxa"/>
            <w:vAlign w:val="center"/>
          </w:tcPr>
          <w:p w14:paraId="1C089BA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Observational design</w:t>
            </w:r>
          </w:p>
        </w:tc>
        <w:tc>
          <w:tcPr>
            <w:tcW w:w="1419" w:type="dxa"/>
            <w:vAlign w:val="center"/>
          </w:tcPr>
          <w:p w14:paraId="1149249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large controlled studies and broader populations</w:t>
            </w:r>
          </w:p>
        </w:tc>
      </w:tr>
      <w:tr w:rsidR="00282680" w:rsidRPr="002C423C" w14:paraId="535EECD4" w14:textId="77777777">
        <w:trPr>
          <w:jc w:val="center"/>
        </w:trPr>
        <w:tc>
          <w:tcPr>
            <w:tcW w:w="1419" w:type="dxa"/>
            <w:vAlign w:val="center"/>
          </w:tcPr>
          <w:p w14:paraId="3445D44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Smart blister package, 2022 [8]</w:t>
            </w:r>
          </w:p>
        </w:tc>
        <w:tc>
          <w:tcPr>
            <w:tcW w:w="1419" w:type="dxa"/>
            <w:vAlign w:val="center"/>
          </w:tcPr>
          <w:p w14:paraId="75EE806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Integration into home routines</w:t>
            </w:r>
          </w:p>
        </w:tc>
        <w:tc>
          <w:tcPr>
            <w:tcW w:w="1419" w:type="dxa"/>
            <w:vAlign w:val="center"/>
          </w:tcPr>
          <w:p w14:paraId="59C03DD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Mixed-method ethnographic study</w:t>
            </w:r>
          </w:p>
        </w:tc>
        <w:tc>
          <w:tcPr>
            <w:tcW w:w="1419" w:type="dxa"/>
            <w:vAlign w:val="center"/>
          </w:tcPr>
          <w:p w14:paraId="3F104B7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Smart multidose blister; 10 older adults</w:t>
            </w:r>
          </w:p>
        </w:tc>
        <w:tc>
          <w:tcPr>
            <w:tcW w:w="1419" w:type="dxa"/>
            <w:vAlign w:val="center"/>
          </w:tcPr>
          <w:p w14:paraId="6F2C44E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Easy and acceptable, but barriers/facilitators matter</w:t>
            </w:r>
          </w:p>
        </w:tc>
        <w:tc>
          <w:tcPr>
            <w:tcW w:w="1419" w:type="dxa"/>
            <w:vAlign w:val="center"/>
          </w:tcPr>
          <w:p w14:paraId="105C845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Very small sample</w:t>
            </w:r>
          </w:p>
        </w:tc>
        <w:tc>
          <w:tcPr>
            <w:tcW w:w="1419" w:type="dxa"/>
            <w:vAlign w:val="center"/>
          </w:tcPr>
          <w:p w14:paraId="484D2A5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routine-aware and customizable systems</w:t>
            </w:r>
          </w:p>
        </w:tc>
      </w:tr>
      <w:tr w:rsidR="00282680" w:rsidRPr="002C423C" w14:paraId="0C203713" w14:textId="77777777">
        <w:trPr>
          <w:jc w:val="center"/>
        </w:trPr>
        <w:tc>
          <w:tcPr>
            <w:tcW w:w="1419" w:type="dxa"/>
            <w:vAlign w:val="center"/>
          </w:tcPr>
          <w:p w14:paraId="7BB05FF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Supermed study, 2021 [9]</w:t>
            </w:r>
          </w:p>
        </w:tc>
        <w:tc>
          <w:tcPr>
            <w:tcW w:w="1419" w:type="dxa"/>
            <w:vAlign w:val="center"/>
          </w:tcPr>
          <w:p w14:paraId="385DCC7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Hypertension adherence</w:t>
            </w:r>
          </w:p>
        </w:tc>
        <w:tc>
          <w:tcPr>
            <w:tcW w:w="1419" w:type="dxa"/>
            <w:vAlign w:val="center"/>
          </w:tcPr>
          <w:p w14:paraId="0178B28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Prospective before-after; n=32</w:t>
            </w:r>
          </w:p>
        </w:tc>
        <w:tc>
          <w:tcPr>
            <w:tcW w:w="1419" w:type="dxa"/>
            <w:vAlign w:val="center"/>
          </w:tcPr>
          <w:p w14:paraId="0E66276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Electronic organizer with alarm</w:t>
            </w:r>
          </w:p>
        </w:tc>
        <w:tc>
          <w:tcPr>
            <w:tcW w:w="1419" w:type="dxa"/>
            <w:vAlign w:val="center"/>
          </w:tcPr>
          <w:p w14:paraId="0002A15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Large improvement in adherence category</w:t>
            </w:r>
          </w:p>
        </w:tc>
        <w:tc>
          <w:tcPr>
            <w:tcW w:w="1419" w:type="dxa"/>
            <w:vAlign w:val="center"/>
          </w:tcPr>
          <w:p w14:paraId="7FF5574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No randomized control</w:t>
            </w:r>
          </w:p>
        </w:tc>
        <w:tc>
          <w:tcPr>
            <w:tcW w:w="1419" w:type="dxa"/>
            <w:vAlign w:val="center"/>
          </w:tcPr>
          <w:p w14:paraId="0222CD0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stronger evidence and remote monitoring</w:t>
            </w:r>
          </w:p>
        </w:tc>
      </w:tr>
      <w:tr w:rsidR="00282680" w:rsidRPr="002C423C" w14:paraId="02120023" w14:textId="77777777">
        <w:trPr>
          <w:jc w:val="center"/>
        </w:trPr>
        <w:tc>
          <w:tcPr>
            <w:tcW w:w="1419" w:type="dxa"/>
            <w:vAlign w:val="center"/>
          </w:tcPr>
          <w:p w14:paraId="4AED89D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Fookkun report, 2024 [10]</w:t>
            </w:r>
          </w:p>
        </w:tc>
        <w:tc>
          <w:tcPr>
            <w:tcW w:w="1419" w:type="dxa"/>
            <w:vAlign w:val="center"/>
          </w:tcPr>
          <w:p w14:paraId="15CE58A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Home medication adherence</w:t>
            </w:r>
          </w:p>
        </w:tc>
        <w:tc>
          <w:tcPr>
            <w:tcW w:w="1419" w:type="dxa"/>
            <w:vAlign w:val="center"/>
          </w:tcPr>
          <w:p w14:paraId="282B37B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Single-patient monitoring study</w:t>
            </w:r>
          </w:p>
        </w:tc>
        <w:tc>
          <w:tcPr>
            <w:tcW w:w="1419" w:type="dxa"/>
            <w:vAlign w:val="center"/>
          </w:tcPr>
          <w:p w14:paraId="1D051A6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Smart dispenser + electronic medication record</w:t>
            </w:r>
          </w:p>
        </w:tc>
        <w:tc>
          <w:tcPr>
            <w:tcW w:w="1419" w:type="dxa"/>
            <w:vAlign w:val="center"/>
          </w:tcPr>
          <w:p w14:paraId="67D3DB9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Alerts and caregiver contact supported adherence</w:t>
            </w:r>
          </w:p>
        </w:tc>
        <w:tc>
          <w:tcPr>
            <w:tcW w:w="1419" w:type="dxa"/>
            <w:vAlign w:val="center"/>
          </w:tcPr>
          <w:p w14:paraId="459BB30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Single case</w:t>
            </w:r>
          </w:p>
        </w:tc>
        <w:tc>
          <w:tcPr>
            <w:tcW w:w="1419" w:type="dxa"/>
            <w:vAlign w:val="center"/>
          </w:tcPr>
          <w:p w14:paraId="012EF8F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scalable multi-patient caregiver platform</w:t>
            </w:r>
          </w:p>
        </w:tc>
      </w:tr>
      <w:tr w:rsidR="00282680" w:rsidRPr="002C423C" w14:paraId="5E54C280" w14:textId="77777777">
        <w:trPr>
          <w:jc w:val="center"/>
        </w:trPr>
        <w:tc>
          <w:tcPr>
            <w:tcW w:w="1419" w:type="dxa"/>
            <w:vAlign w:val="center"/>
          </w:tcPr>
          <w:p w14:paraId="079C017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REMIND, 2017 [12]</w:t>
            </w:r>
          </w:p>
        </w:tc>
        <w:tc>
          <w:tcPr>
            <w:tcW w:w="1419" w:type="dxa"/>
            <w:vAlign w:val="center"/>
          </w:tcPr>
          <w:p w14:paraId="06F1849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Effect of reminder devices</w:t>
            </w:r>
          </w:p>
        </w:tc>
        <w:tc>
          <w:tcPr>
            <w:tcW w:w="1419" w:type="dxa"/>
            <w:vAlign w:val="center"/>
          </w:tcPr>
          <w:p w14:paraId="7A78693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Large randomized clinical trial</w:t>
            </w:r>
          </w:p>
        </w:tc>
        <w:tc>
          <w:tcPr>
            <w:tcW w:w="1419" w:type="dxa"/>
            <w:vAlign w:val="center"/>
          </w:tcPr>
          <w:p w14:paraId="786889D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Pillbox, timer cap, toggle strip</w:t>
            </w:r>
          </w:p>
        </w:tc>
        <w:tc>
          <w:tcPr>
            <w:tcW w:w="1419" w:type="dxa"/>
            <w:vAlign w:val="center"/>
          </w:tcPr>
          <w:p w14:paraId="5D7C46E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No overall significant adherence improvement</w:t>
            </w:r>
          </w:p>
        </w:tc>
        <w:tc>
          <w:tcPr>
            <w:tcW w:w="1419" w:type="dxa"/>
            <w:vAlign w:val="center"/>
          </w:tcPr>
          <w:p w14:paraId="03BA0C3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General adult population; device-only approach</w:t>
            </w:r>
          </w:p>
        </w:tc>
        <w:tc>
          <w:tcPr>
            <w:tcW w:w="1419" w:type="dxa"/>
            <w:vAlign w:val="center"/>
          </w:tcPr>
          <w:p w14:paraId="1373D8E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Reminder alone insufficient; need escalation</w:t>
            </w:r>
          </w:p>
        </w:tc>
      </w:tr>
      <w:tr w:rsidR="00282680" w:rsidRPr="002C423C" w14:paraId="116B5274" w14:textId="77777777">
        <w:trPr>
          <w:jc w:val="center"/>
        </w:trPr>
        <w:tc>
          <w:tcPr>
            <w:tcW w:w="1419" w:type="dxa"/>
            <w:vAlign w:val="center"/>
          </w:tcPr>
          <w:p w14:paraId="74B6854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Systematic review, 2026 [1]</w:t>
            </w:r>
          </w:p>
        </w:tc>
        <w:tc>
          <w:tcPr>
            <w:tcW w:w="1419" w:type="dxa"/>
            <w:vAlign w:val="center"/>
          </w:tcPr>
          <w:p w14:paraId="1923303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Digital interventions in adults 65+</w:t>
            </w:r>
          </w:p>
        </w:tc>
        <w:tc>
          <w:tcPr>
            <w:tcW w:w="1419" w:type="dxa"/>
            <w:vAlign w:val="center"/>
          </w:tcPr>
          <w:p w14:paraId="75FE3FF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35 studies; 22 RCTs</w:t>
            </w:r>
          </w:p>
        </w:tc>
        <w:tc>
          <w:tcPr>
            <w:tcW w:w="1419" w:type="dxa"/>
            <w:vAlign w:val="center"/>
          </w:tcPr>
          <w:p w14:paraId="35E9D71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Apps, reminders, telenursing, combined tools</w:t>
            </w:r>
          </w:p>
        </w:tc>
        <w:tc>
          <w:tcPr>
            <w:tcW w:w="1419" w:type="dxa"/>
            <w:vAlign w:val="center"/>
          </w:tcPr>
          <w:p w14:paraId="66ECF20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About half improved adherence</w:t>
            </w:r>
          </w:p>
        </w:tc>
        <w:tc>
          <w:tcPr>
            <w:tcW w:w="1419" w:type="dxa"/>
            <w:vAlign w:val="center"/>
          </w:tcPr>
          <w:p w14:paraId="2B0D051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Heterogeneity and variable certainty</w:t>
            </w:r>
          </w:p>
        </w:tc>
        <w:tc>
          <w:tcPr>
            <w:tcW w:w="1419" w:type="dxa"/>
            <w:vAlign w:val="center"/>
          </w:tcPr>
          <w:p w14:paraId="2D89902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sz w:val="14"/>
              </w:rPr>
              <w:t>Need long-term, tailored, multicomponent interventions</w:t>
            </w:r>
          </w:p>
        </w:tc>
      </w:tr>
    </w:tbl>
    <w:p w14:paraId="5D46E76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Comparative interpretation: The evidence supports combining the strongest recurring features—simple reminders, event monitoring, multimodal cues, caregiver involvement, and user-centred design—while avoiding the assumption that reminders by themselves guarantee adherence.</w:t>
      </w:r>
    </w:p>
    <w:p w14:paraId="042874A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ype="page"/>
      </w:r>
    </w:p>
    <w:p w14:paraId="1F0ECA8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8. Research Gaps, Proposed Improvement, and Future Direction</w:t>
      </w:r>
    </w:p>
    <w:p w14:paraId="157D9EC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8.1 Major Research Gaps Identified</w:t>
      </w:r>
    </w:p>
    <w:p w14:paraId="0F40EF1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Reminder-only systems do not consistently improve adherence. Evidence such as the REMIND trial indicates that passive reminders may be insufficient.</w:t>
      </w:r>
    </w:p>
    <w:p w14:paraId="4920308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Many studies use small samples, short follow-up periods, or feasibility designs. Stronger real-world evidence is required.</w:t>
      </w:r>
    </w:p>
    <w:p w14:paraId="72F34EB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Older adults are not a uniform user group. Cognitive, visual, hearing, motor, literacy, and technology-experience differences require adaptive interfaces.</w:t>
      </w:r>
    </w:p>
    <w:p w14:paraId="7B20875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Caregiver involvement is promising but is not consistently integrated into medication systems as a structured workflow.</w:t>
      </w:r>
    </w:p>
    <w:p w14:paraId="29F611C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Many systems record a patient action but cannot reliably establish that the medication was physically consumed.</w:t>
      </w:r>
    </w:p>
    <w:p w14:paraId="6014665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Refill management, multiple caregivers, escalation policies, and integration with healthcare or pharmacy systems are underdeveloped in many solutions.</w:t>
      </w:r>
    </w:p>
    <w:p w14:paraId="09A7052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Privacy, authentication, authorization, data retention, and secure communication need explicit design and evaluation.</w:t>
      </w:r>
    </w:p>
    <w:p w14:paraId="677D721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Alert fatigue is an important operational risk: too many notifications may cause caregivers to ignore important alerts.</w:t>
      </w:r>
    </w:p>
    <w:p w14:paraId="528E12A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8.2 Proposed System Improvements</w:t>
      </w:r>
    </w:p>
    <w:p w14:paraId="2F6D6828"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Elderly-friendly patient interface: large text, high readability, simple icons, minimal navigation, and consistent terminology.</w:t>
      </w:r>
    </w:p>
    <w:p w14:paraId="13418CD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Caregiver-managed scheduling: authorised caregivers can create and update multi-drug schedules.</w:t>
      </w:r>
    </w:p>
    <w:p w14:paraId="54C3EFF0"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Multimodal reminders: visual, audible, vibration, and optional voice prompts.</w:t>
      </w:r>
    </w:p>
    <w:p w14:paraId="7BD8A4F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One-step dose confirmation: patient can confirm through a large button, voice response, or simplified interaction.</w:t>
      </w:r>
    </w:p>
    <w:p w14:paraId="413ED08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Closed-loop missed-dose detection: if confirmation is not received within a configurable window, the system generates an alert.</w:t>
      </w:r>
    </w:p>
    <w:p w14:paraId="21D2E20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Escalation workflow: first reminder → second reminder → caregiver alert → optional secondary caregiver escalation.</w:t>
      </w:r>
    </w:p>
    <w:p w14:paraId="3235DA3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Adherence dashboard: daily, weekly, and monthly history with missed-dose patterns.</w:t>
      </w:r>
    </w:p>
    <w:p w14:paraId="5702631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Refill reminders: estimated supply tracking and low-stock notifications.</w:t>
      </w:r>
    </w:p>
    <w:p w14:paraId="11A0A97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Secure role-based access: patient, caregiver, healthcare professional, and administrator roles with minimum necessary access.</w:t>
      </w:r>
    </w:p>
    <w:p w14:paraId="5B92564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Optional device integration: smart pillbox or dispenser data can be incorporated where available, but the core platform should remain usable without expensive hardware.</w:t>
      </w:r>
    </w:p>
    <w:p w14:paraId="1805D5E4"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8.3 Suggested Evaluation Plan</w:t>
      </w:r>
    </w:p>
    <w:p w14:paraId="32EB405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A future prototype should be evaluated through usability testing with older adults and caregivers followed by a controlled pilot. Key metrics should include medication adherence rate, missed-dose response time, alert delivery success, caregiver workload, SUS score, task completion time, user satisfaction, false-alert rate, and retention over several months. A mixed-method design would capture both quantitative adherence outcomes and qualitative barriers.</w:t>
      </w:r>
    </w:p>
    <w:p w14:paraId="0610A33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8.4 Future Research Directions</w:t>
      </w:r>
    </w:p>
    <w:p w14:paraId="21B0CAF7" w14:textId="3607BC9F"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Future versions could investigate adaptive reminder timing, personalized escalation thresholds, pharmacy integration, medication interaction warnings supported by verified clinical databases, voice assistants, wearable devices, and machine-learning models that predict non-adherence. Any AI component should support—not replace—clinical judgement and should be validated carefully before being used for safety-critical decisions.</w:t>
      </w:r>
      <w:r w:rsidRPr="002C423C">
        <w:rPr>
          <w:rFonts w:cs="Times New Roman"/>
          <w:color w:val="000000" w:themeColor="text1"/>
        </w:rPr>
        <w:br w:type="page"/>
      </w:r>
    </w:p>
    <w:p w14:paraId="1667268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9. Conclusion and References</w:t>
      </w:r>
    </w:p>
    <w:p w14:paraId="0E3E80E9"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literature demonstrates that medication adherence among older adults is a complex problem influenced by memory, regimen complexity, usability, health conditions, caregiver availability, and social context. Digital technologies can provide meaningful support, but evidence is mixed and reminder-only approaches are not sufficient for all users. The strongest direction for the assigned problem is a user-centred, multicomponent platform that combines simple reminders, dose confirmation, adherence history, caregiver alerts, escalation, and refill support.</w:t>
      </w:r>
    </w:p>
    <w:p w14:paraId="0EE4190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The proposed Medication Adherence Tracker is therefore well aligned with the research gap. Its contribution should be evaluated not simply by whether notifications are delivered, but by whether the complete workflow helps older adults take medicines more consistently while giving caregivers timely, understandable, and actionable information. Future studies should use larger samples, longer follow-up, stronger controlled designs, and explicit measurements of usability, caregiver burden, privacy, alert fatigue, and cost.</w:t>
      </w:r>
    </w:p>
    <w:p w14:paraId="5FA0E5BA"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References</w:t>
      </w:r>
    </w:p>
    <w:p w14:paraId="3A99F5A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 Digital Health Interventions to Improve Medication Adherence Among Older Adults: A Systematic Review. Australasian Journal on Ageing, 2026. PubMed PMID: 42469587.</w:t>
      </w:r>
    </w:p>
    <w:p w14:paraId="3F71BC6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[2] Impact of mHealth on Medication Adherence in Older Adults with Chronic Diseases Facing Treatment Burden: A Systematic Review. 2026. Open-access systematic review.</w:t>
      </w:r>
    </w:p>
    <w:p w14:paraId="095629EB"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 xml:space="preserve">[3] Grindrod, K. A., et al. (2014). Evaluating User Perceptions of Mobile Medication Management Applications </w:t>
      </w:r>
      <w:proofErr w:type="gramStart"/>
      <w:r w:rsidRPr="002C423C">
        <w:rPr>
          <w:rFonts w:cs="Times New Roman"/>
          <w:color w:val="000000" w:themeColor="text1"/>
        </w:rPr>
        <w:t>With</w:t>
      </w:r>
      <w:proofErr w:type="gramEnd"/>
      <w:r w:rsidRPr="002C423C">
        <w:rPr>
          <w:rFonts w:cs="Times New Roman"/>
          <w:color w:val="000000" w:themeColor="text1"/>
        </w:rPr>
        <w:t xml:space="preserve"> Older Adults: A Usability Study. JMIR mHealth and uHealth, 2(1), e11. DOI: 10.2196/mhealth.3048.</w:t>
      </w:r>
    </w:p>
    <w:p w14:paraId="4992D61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[4] Boyd, A. D., et al. (2020). Elderly Medication Adherence Intervention Using the My Interventional Drug-Eluting Stent Educational App: Multisite Randomized Feasibility Trial. JMIR mHealth and uHealth, 8(6), e15900.</w:t>
      </w:r>
    </w:p>
    <w:p w14:paraId="212B1EC6"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 xml:space="preserve">[5] Supporting the Medication Adherence of Older Mexican Adults Through External Cues Provided </w:t>
      </w:r>
      <w:proofErr w:type="gramStart"/>
      <w:r w:rsidRPr="002C423C">
        <w:rPr>
          <w:rFonts w:cs="Times New Roman"/>
          <w:color w:val="000000" w:themeColor="text1"/>
        </w:rPr>
        <w:t>With</w:t>
      </w:r>
      <w:proofErr w:type="gramEnd"/>
      <w:r w:rsidRPr="002C423C">
        <w:rPr>
          <w:rFonts w:cs="Times New Roman"/>
          <w:color w:val="000000" w:themeColor="text1"/>
        </w:rPr>
        <w:t xml:space="preserve"> Ambient Displays: Feasibility Randomized Controlled Trial. JMIR mHealth and uHealth, 2020, 8(3), e14680. DOI: 10.2196/14680.</w:t>
      </w:r>
    </w:p>
    <w:p w14:paraId="0E48482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[6] Medication adherence support of an in-home electronic medication dispensing system for individuals living with chronic conditions: a pilot randomized controlled trial. 2021. PubMed PMID: 33446126.</w:t>
      </w:r>
    </w:p>
    <w:p w14:paraId="0605D3AC"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 xml:space="preserve">[7] Patel, T., Ivo, J., Pitre, T., Faisal, S., Antunes, K., &amp; Oda, K. (2022). An In-Home Medication Dispensing System to Support Medication Adherence for Patients </w:t>
      </w:r>
      <w:proofErr w:type="gramStart"/>
      <w:r w:rsidRPr="002C423C">
        <w:rPr>
          <w:rFonts w:cs="Times New Roman"/>
          <w:color w:val="000000" w:themeColor="text1"/>
        </w:rPr>
        <w:t>With</w:t>
      </w:r>
      <w:proofErr w:type="gramEnd"/>
      <w:r w:rsidRPr="002C423C">
        <w:rPr>
          <w:rFonts w:cs="Times New Roman"/>
          <w:color w:val="000000" w:themeColor="text1"/>
        </w:rPr>
        <w:t xml:space="preserve"> Chronic Conditions in the Community Setting: Prospective Observational Pilot Study. PubMed PMID: 35587371.</w:t>
      </w:r>
    </w:p>
    <w:p w14:paraId="2896217D"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[8] Integration of a smart multidose blister package for medication intake: A mixed method ethnographic informed study of older adults with chronic diseases. PLOS ONE, 2022, 17(1), e0262012. DOI: 10.1371/journal.pone.0262012.</w:t>
      </w:r>
    </w:p>
    <w:p w14:paraId="228F6E2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[9] The use of an electronic medication organizer device with alarm to improve medication adherence of older adults with hypertension. 2021. PubMed PMID: 34586158.</w:t>
      </w:r>
    </w:p>
    <w:p w14:paraId="7380F141"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[10] Improved Medication Adherence of an Elderly Diabetic Patient at a Dwelling Home Using a Pill Dispenser and Personal Health Records. Healthcare, 2024, 12(4), 499. DOI: 10.3390/healthcare12040499.</w:t>
      </w:r>
    </w:p>
    <w:p w14:paraId="34B441D3"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[11] A Pilot Study to Evaluate the Acceptability of Using a Smart Pillbox to Enhance Medication Adherence Among Primary Care Patients. International Journal of Environmental Research and Public Health, 2019, 16(20), 3964. DOI: 10.3390/ijerph16203964.</w:t>
      </w:r>
    </w:p>
    <w:p w14:paraId="024E1532"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[12] Choudhry, N. K., et al. (2017). Effect of Reminder Devices on Medication Adherence: The REMIND Randomized Clinical Trial. JAMA Internal Medicine, 177(5), 624–631. DOI: 10.1001/jamainternmed.2016.9627.</w:t>
      </w:r>
    </w:p>
    <w:p w14:paraId="088FD4F7"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lastRenderedPageBreak/>
        <w:t>[13] Effects of using medication reminder technologies by home-dwelling older citizens: a systematic review. Age and Ageing, 2026. DOI: 10.1093/ageing/afag007.</w:t>
      </w:r>
    </w:p>
    <w:p w14:paraId="10E9CB3F"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t>[14] Development and evaluation of online medication support tools for older people: a systematic review. 2025. PubMed PMID: 41110133.</w:t>
      </w:r>
    </w:p>
    <w:p w14:paraId="7426ED3E" w14:textId="77777777" w:rsidR="00282680" w:rsidRPr="002C423C" w:rsidRDefault="00000000" w:rsidP="002C423C">
      <w:pPr>
        <w:spacing w:line="360" w:lineRule="auto"/>
        <w:jc w:val="both"/>
        <w:rPr>
          <w:rFonts w:cs="Times New Roman"/>
          <w:color w:val="000000" w:themeColor="text1"/>
        </w:rPr>
      </w:pPr>
      <w:r w:rsidRPr="002C423C">
        <w:rPr>
          <w:rFonts w:cs="Times New Roman"/>
          <w:color w:val="000000" w:themeColor="text1"/>
        </w:rPr>
        <w:br/>
        <w:t>Note: This document is a literature survey and does not claim original experimental results. Findings and numerical values are reported from the cited studies.</w:t>
      </w:r>
    </w:p>
    <w:sectPr w:rsidR="00282680" w:rsidRPr="002C423C" w:rsidSect="00034616">
      <w:headerReference w:type="default" r:id="rId9"/>
      <w:footerReference w:type="default" r:id="rId10"/>
      <w:pgSz w:w="12240" w:h="15840"/>
      <w:pgMar w:top="792"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F9DE" w14:textId="77777777" w:rsidR="00B13390" w:rsidRDefault="00B13390">
      <w:pPr>
        <w:spacing w:after="0"/>
      </w:pPr>
      <w:r>
        <w:separator/>
      </w:r>
    </w:p>
  </w:endnote>
  <w:endnote w:type="continuationSeparator" w:id="0">
    <w:p w14:paraId="71A894AB" w14:textId="77777777" w:rsidR="00B13390" w:rsidRDefault="00B133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31D0" w14:textId="77777777" w:rsidR="00282680" w:rsidRDefault="00000000">
    <w:pPr>
      <w:pStyle w:val="Footer"/>
      <w:jc w:val="center"/>
    </w:pPr>
    <w:r>
      <w:t xml:space="preserve">Page </w:t>
    </w:r>
    <w:r>
      <w:fldChar w:fldCharType="begin"/>
    </w:r>
    <w:r>
      <w:instrText>PAGE</w:instrText>
    </w:r>
    <w:r w:rsidR="002C423C">
      <w:fldChar w:fldCharType="separate"/>
    </w:r>
    <w:r w:rsidR="002C42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6F1B" w14:textId="77777777" w:rsidR="00B13390" w:rsidRDefault="00B13390">
      <w:pPr>
        <w:spacing w:after="0"/>
      </w:pPr>
      <w:r>
        <w:separator/>
      </w:r>
    </w:p>
  </w:footnote>
  <w:footnote w:type="continuationSeparator" w:id="0">
    <w:p w14:paraId="261D1241" w14:textId="77777777" w:rsidR="00B13390" w:rsidRDefault="00B133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4BE6" w14:textId="77777777" w:rsidR="00282680" w:rsidRDefault="00000000">
    <w:pPr>
      <w:pStyle w:val="Header"/>
      <w:jc w:val="right"/>
    </w:pPr>
    <w:r>
      <w:rPr>
        <w:sz w:val="16"/>
      </w:rPr>
      <w:t>Medication Adherence Tracker – Literature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767611">
    <w:abstractNumId w:val="8"/>
  </w:num>
  <w:num w:numId="2" w16cid:durableId="1309703490">
    <w:abstractNumId w:val="6"/>
  </w:num>
  <w:num w:numId="3" w16cid:durableId="2062707311">
    <w:abstractNumId w:val="5"/>
  </w:num>
  <w:num w:numId="4" w16cid:durableId="1770159235">
    <w:abstractNumId w:val="4"/>
  </w:num>
  <w:num w:numId="5" w16cid:durableId="1582056330">
    <w:abstractNumId w:val="7"/>
  </w:num>
  <w:num w:numId="6" w16cid:durableId="1582131260">
    <w:abstractNumId w:val="3"/>
  </w:num>
  <w:num w:numId="7" w16cid:durableId="2090806415">
    <w:abstractNumId w:val="2"/>
  </w:num>
  <w:num w:numId="8" w16cid:durableId="762532974">
    <w:abstractNumId w:val="1"/>
  </w:num>
  <w:num w:numId="9" w16cid:durableId="80485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680"/>
    <w:rsid w:val="0029639D"/>
    <w:rsid w:val="002C423C"/>
    <w:rsid w:val="00326F90"/>
    <w:rsid w:val="00462F67"/>
    <w:rsid w:val="00684276"/>
    <w:rsid w:val="00AA1D8D"/>
    <w:rsid w:val="00B133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8E483"/>
  <w14:defaultImageDpi w14:val="300"/>
  <w15:docId w15:val="{307241C7-E177-40B8-A59E-5C7B821A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20" w:line="240" w:lineRule="auto"/>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4214</Words>
  <Characters>24021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dumbo6295@gmail.com</cp:lastModifiedBy>
  <cp:revision>2</cp:revision>
  <dcterms:created xsi:type="dcterms:W3CDTF">2026-08-31T08:12:00Z</dcterms:created>
  <dcterms:modified xsi:type="dcterms:W3CDTF">2026-08-31T08:12:00Z</dcterms:modified>
  <cp:category/>
</cp:coreProperties>
</file>