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C4520" w14:textId="7B108612" w:rsidR="004F581D" w:rsidRDefault="004F581D" w:rsidP="004F581D">
      <w:pPr>
        <w:spacing w:line="360" w:lineRule="auto"/>
        <w:jc w:val="center"/>
        <w:rPr>
          <w:rFonts w:ascii="Times New Roman" w:hAnsi="Times New Roman" w:cs="Times New Roman"/>
          <w:b/>
          <w:bCs/>
          <w:sz w:val="28"/>
          <w:szCs w:val="28"/>
        </w:rPr>
      </w:pPr>
      <w:r w:rsidRPr="00FA0740">
        <w:rPr>
          <w:rFonts w:ascii="Times New Roman" w:hAnsi="Times New Roman" w:cs="Times New Roman"/>
          <w:noProof/>
          <w:sz w:val="24"/>
          <w:szCs w:val="24"/>
        </w:rPr>
        <w:drawing>
          <wp:inline distT="0" distB="0" distL="0" distR="0" wp14:anchorId="43F449BD" wp14:editId="3478BCC3">
            <wp:extent cx="6057900" cy="1040130"/>
            <wp:effectExtent l="0" t="0" r="0" b="7620"/>
            <wp:docPr id="213097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71046" name="Picture 1"/>
                    <pic:cNvPicPr>
                      <a:picLocks noChangeAspect="1"/>
                    </pic:cNvPicPr>
                  </pic:nvPicPr>
                  <pic:blipFill>
                    <a:blip r:embed="rId5"/>
                    <a:stretch>
                      <a:fillRect/>
                    </a:stretch>
                  </pic:blipFill>
                  <pic:spPr>
                    <a:xfrm>
                      <a:off x="0" y="0"/>
                      <a:ext cx="6057900" cy="1040130"/>
                    </a:xfrm>
                    <a:prstGeom prst="rect">
                      <a:avLst/>
                    </a:prstGeom>
                  </pic:spPr>
                </pic:pic>
              </a:graphicData>
            </a:graphic>
          </wp:inline>
        </w:drawing>
      </w:r>
    </w:p>
    <w:p w14:paraId="5024B5DD" w14:textId="77777777" w:rsidR="004F581D" w:rsidRPr="00C17517" w:rsidRDefault="004F581D" w:rsidP="004F581D">
      <w:pPr>
        <w:spacing w:line="360" w:lineRule="auto"/>
        <w:jc w:val="center"/>
        <w:rPr>
          <w:rFonts w:ascii="Times New Roman" w:hAnsi="Times New Roman" w:cs="Times New Roman"/>
          <w:b/>
          <w:bCs/>
          <w:sz w:val="28"/>
          <w:szCs w:val="28"/>
        </w:rPr>
      </w:pPr>
      <w:r w:rsidRPr="00C17517">
        <w:rPr>
          <w:rFonts w:ascii="Times New Roman" w:hAnsi="Times New Roman" w:cs="Times New Roman"/>
          <w:b/>
          <w:bCs/>
          <w:sz w:val="28"/>
          <w:szCs w:val="28"/>
        </w:rPr>
        <w:t>Medication Adherence Tracker for Elderly Patients</w:t>
      </w:r>
    </w:p>
    <w:p w14:paraId="2B61C5F0" w14:textId="77777777" w:rsidR="004F581D" w:rsidRPr="00C17517" w:rsidRDefault="004F581D" w:rsidP="004F581D">
      <w:pPr>
        <w:spacing w:line="360" w:lineRule="auto"/>
        <w:jc w:val="center"/>
        <w:rPr>
          <w:rFonts w:ascii="Times New Roman" w:hAnsi="Times New Roman" w:cs="Times New Roman"/>
          <w:b/>
          <w:bCs/>
          <w:sz w:val="24"/>
          <w:szCs w:val="24"/>
        </w:rPr>
      </w:pPr>
    </w:p>
    <w:p w14:paraId="60F35C2E" w14:textId="77777777" w:rsidR="004F581D" w:rsidRPr="00C17517" w:rsidRDefault="004F581D" w:rsidP="004F581D">
      <w:pPr>
        <w:spacing w:line="360" w:lineRule="auto"/>
        <w:jc w:val="center"/>
        <w:rPr>
          <w:rFonts w:ascii="Times New Roman" w:hAnsi="Times New Roman" w:cs="Times New Roman"/>
          <w:b/>
          <w:bCs/>
          <w:sz w:val="24"/>
          <w:szCs w:val="24"/>
        </w:rPr>
      </w:pPr>
      <w:r w:rsidRPr="00C17517">
        <w:rPr>
          <w:rFonts w:ascii="Times New Roman" w:hAnsi="Times New Roman" w:cs="Times New Roman"/>
          <w:b/>
          <w:bCs/>
          <w:sz w:val="24"/>
          <w:szCs w:val="24"/>
        </w:rPr>
        <w:t>CSA1012 — SOFTWARE ENGINEERING</w:t>
      </w:r>
    </w:p>
    <w:p w14:paraId="7324424D" w14:textId="77777777" w:rsidR="004F581D" w:rsidRPr="00C17517" w:rsidRDefault="004F581D" w:rsidP="004F581D">
      <w:pPr>
        <w:spacing w:line="360" w:lineRule="auto"/>
        <w:jc w:val="center"/>
        <w:rPr>
          <w:rFonts w:ascii="Times New Roman" w:hAnsi="Times New Roman" w:cs="Times New Roman"/>
          <w:sz w:val="24"/>
          <w:szCs w:val="24"/>
        </w:rPr>
      </w:pPr>
    </w:p>
    <w:p w14:paraId="51106BE6" w14:textId="77777777" w:rsidR="004F581D" w:rsidRPr="00C17517" w:rsidRDefault="004F581D" w:rsidP="004F581D">
      <w:pPr>
        <w:spacing w:line="360" w:lineRule="auto"/>
        <w:jc w:val="center"/>
        <w:rPr>
          <w:rFonts w:ascii="Times New Roman" w:hAnsi="Times New Roman" w:cs="Times New Roman"/>
          <w:i/>
          <w:iCs/>
          <w:sz w:val="24"/>
          <w:szCs w:val="24"/>
        </w:rPr>
      </w:pPr>
      <w:r w:rsidRPr="00C17517">
        <w:rPr>
          <w:rFonts w:ascii="Times New Roman" w:hAnsi="Times New Roman" w:cs="Times New Roman"/>
          <w:i/>
          <w:iCs/>
          <w:sz w:val="24"/>
          <w:szCs w:val="24"/>
        </w:rPr>
        <w:t>towards the award of the degree of</w:t>
      </w:r>
    </w:p>
    <w:p w14:paraId="7E082DFE" w14:textId="77777777" w:rsidR="004F581D" w:rsidRPr="00C17517" w:rsidRDefault="004F581D" w:rsidP="004F581D">
      <w:pPr>
        <w:spacing w:line="360" w:lineRule="auto"/>
        <w:jc w:val="center"/>
        <w:rPr>
          <w:rFonts w:ascii="Times New Roman" w:hAnsi="Times New Roman" w:cs="Times New Roman"/>
          <w:sz w:val="24"/>
          <w:szCs w:val="24"/>
        </w:rPr>
      </w:pPr>
    </w:p>
    <w:p w14:paraId="1AD96881" w14:textId="77777777" w:rsidR="004F581D" w:rsidRPr="00C17517" w:rsidRDefault="004F581D" w:rsidP="004F581D">
      <w:pPr>
        <w:spacing w:line="360" w:lineRule="auto"/>
        <w:jc w:val="center"/>
        <w:rPr>
          <w:rFonts w:ascii="Times New Roman" w:hAnsi="Times New Roman" w:cs="Times New Roman"/>
          <w:sz w:val="24"/>
          <w:szCs w:val="24"/>
        </w:rPr>
      </w:pPr>
      <w:r w:rsidRPr="00C17517">
        <w:rPr>
          <w:rFonts w:ascii="Times New Roman" w:hAnsi="Times New Roman" w:cs="Times New Roman"/>
          <w:b/>
          <w:bCs/>
          <w:sz w:val="24"/>
          <w:szCs w:val="24"/>
        </w:rPr>
        <w:t>BACHELOR OF TECHNOLOGY</w:t>
      </w:r>
    </w:p>
    <w:p w14:paraId="218AE0D3" w14:textId="77777777" w:rsidR="004F581D" w:rsidRPr="00C17517" w:rsidRDefault="004F581D" w:rsidP="004F581D">
      <w:pPr>
        <w:spacing w:line="360" w:lineRule="auto"/>
        <w:jc w:val="center"/>
        <w:rPr>
          <w:rFonts w:ascii="Times New Roman" w:hAnsi="Times New Roman" w:cs="Times New Roman"/>
          <w:sz w:val="24"/>
          <w:szCs w:val="24"/>
        </w:rPr>
      </w:pPr>
      <w:r w:rsidRPr="00C17517">
        <w:rPr>
          <w:rFonts w:ascii="Times New Roman" w:hAnsi="Times New Roman" w:cs="Times New Roman"/>
          <w:sz w:val="24"/>
          <w:szCs w:val="24"/>
        </w:rPr>
        <w:t>IN</w:t>
      </w:r>
    </w:p>
    <w:p w14:paraId="67DFCED3" w14:textId="77777777" w:rsidR="004F581D" w:rsidRPr="00C17517" w:rsidRDefault="004F581D" w:rsidP="004F581D">
      <w:pPr>
        <w:spacing w:line="360" w:lineRule="auto"/>
        <w:jc w:val="center"/>
        <w:rPr>
          <w:rFonts w:ascii="Times New Roman" w:hAnsi="Times New Roman" w:cs="Times New Roman"/>
          <w:b/>
          <w:bCs/>
          <w:sz w:val="24"/>
          <w:szCs w:val="24"/>
        </w:rPr>
      </w:pPr>
      <w:r w:rsidRPr="00C17517">
        <w:rPr>
          <w:rFonts w:ascii="Times New Roman" w:hAnsi="Times New Roman" w:cs="Times New Roman"/>
          <w:b/>
          <w:bCs/>
          <w:sz w:val="24"/>
          <w:szCs w:val="24"/>
        </w:rPr>
        <w:t>COMPUTER SCIENCE (AI)</w:t>
      </w:r>
    </w:p>
    <w:p w14:paraId="100E5C22" w14:textId="77777777" w:rsidR="004F581D" w:rsidRPr="00C17517" w:rsidRDefault="004F581D" w:rsidP="004F581D">
      <w:pPr>
        <w:spacing w:line="360" w:lineRule="auto"/>
        <w:jc w:val="center"/>
        <w:rPr>
          <w:rFonts w:ascii="Times New Roman" w:hAnsi="Times New Roman" w:cs="Times New Roman"/>
          <w:sz w:val="24"/>
          <w:szCs w:val="24"/>
        </w:rPr>
      </w:pPr>
    </w:p>
    <w:p w14:paraId="11F131E9" w14:textId="77777777" w:rsidR="004F581D" w:rsidRPr="00C17517" w:rsidRDefault="004F581D" w:rsidP="004F581D">
      <w:pPr>
        <w:spacing w:line="360" w:lineRule="auto"/>
        <w:jc w:val="center"/>
        <w:rPr>
          <w:rFonts w:ascii="Times New Roman" w:hAnsi="Times New Roman" w:cs="Times New Roman"/>
          <w:sz w:val="24"/>
          <w:szCs w:val="24"/>
        </w:rPr>
      </w:pPr>
      <w:r w:rsidRPr="00C17517">
        <w:rPr>
          <w:rFonts w:ascii="Times New Roman" w:hAnsi="Times New Roman" w:cs="Times New Roman"/>
          <w:sz w:val="24"/>
          <w:szCs w:val="24"/>
        </w:rPr>
        <w:t>Submitted by</w:t>
      </w:r>
    </w:p>
    <w:p w14:paraId="6D147BE7" w14:textId="77777777" w:rsidR="004F581D" w:rsidRPr="00C17517" w:rsidRDefault="004F581D" w:rsidP="004F581D">
      <w:pPr>
        <w:spacing w:line="360" w:lineRule="auto"/>
        <w:jc w:val="center"/>
        <w:rPr>
          <w:rFonts w:ascii="Times New Roman" w:hAnsi="Times New Roman" w:cs="Times New Roman"/>
          <w:sz w:val="24"/>
          <w:szCs w:val="24"/>
        </w:rPr>
      </w:pPr>
    </w:p>
    <w:p w14:paraId="45E238F7" w14:textId="77777777" w:rsidR="004F581D" w:rsidRPr="00C17517" w:rsidRDefault="004F581D" w:rsidP="004F581D">
      <w:pPr>
        <w:spacing w:line="360" w:lineRule="auto"/>
        <w:jc w:val="center"/>
        <w:rPr>
          <w:rFonts w:ascii="Times New Roman" w:hAnsi="Times New Roman" w:cs="Times New Roman"/>
          <w:b/>
          <w:bCs/>
          <w:sz w:val="24"/>
          <w:szCs w:val="24"/>
        </w:rPr>
      </w:pPr>
      <w:r w:rsidRPr="00C17517">
        <w:rPr>
          <w:rFonts w:ascii="Times New Roman" w:hAnsi="Times New Roman" w:cs="Times New Roman"/>
          <w:b/>
          <w:bCs/>
          <w:sz w:val="24"/>
          <w:szCs w:val="24"/>
        </w:rPr>
        <w:t xml:space="preserve">P </w:t>
      </w:r>
      <w:proofErr w:type="gramStart"/>
      <w:r w:rsidRPr="00C17517">
        <w:rPr>
          <w:rFonts w:ascii="Times New Roman" w:hAnsi="Times New Roman" w:cs="Times New Roman"/>
          <w:b/>
          <w:bCs/>
          <w:sz w:val="24"/>
          <w:szCs w:val="24"/>
        </w:rPr>
        <w:t>SADVIK(</w:t>
      </w:r>
      <w:proofErr w:type="gramEnd"/>
      <w:r w:rsidRPr="00C17517">
        <w:rPr>
          <w:rFonts w:ascii="Times New Roman" w:hAnsi="Times New Roman" w:cs="Times New Roman"/>
          <w:b/>
          <w:bCs/>
          <w:sz w:val="24"/>
          <w:szCs w:val="24"/>
        </w:rPr>
        <w:t>192472243)</w:t>
      </w:r>
    </w:p>
    <w:p w14:paraId="12B032E0" w14:textId="77777777" w:rsidR="004F581D" w:rsidRPr="00C17517" w:rsidRDefault="004F581D" w:rsidP="004F581D">
      <w:pPr>
        <w:spacing w:line="360" w:lineRule="auto"/>
        <w:jc w:val="center"/>
        <w:rPr>
          <w:rFonts w:ascii="Times New Roman" w:hAnsi="Times New Roman" w:cs="Times New Roman"/>
          <w:sz w:val="24"/>
          <w:szCs w:val="24"/>
        </w:rPr>
      </w:pPr>
    </w:p>
    <w:p w14:paraId="0C9C785F" w14:textId="77777777" w:rsidR="004F581D" w:rsidRPr="00C17517" w:rsidRDefault="004F581D" w:rsidP="004F581D">
      <w:pPr>
        <w:spacing w:line="360" w:lineRule="auto"/>
        <w:jc w:val="center"/>
        <w:rPr>
          <w:rFonts w:ascii="Times New Roman" w:hAnsi="Times New Roman" w:cs="Times New Roman"/>
          <w:sz w:val="24"/>
          <w:szCs w:val="24"/>
        </w:rPr>
      </w:pPr>
      <w:r w:rsidRPr="00C17517">
        <w:rPr>
          <w:rFonts w:ascii="Times New Roman" w:hAnsi="Times New Roman" w:cs="Times New Roman"/>
          <w:sz w:val="24"/>
          <w:szCs w:val="24"/>
        </w:rPr>
        <w:t>Under the Supervision of</w:t>
      </w:r>
    </w:p>
    <w:p w14:paraId="69C28271" w14:textId="77777777" w:rsidR="004F581D" w:rsidRPr="00C17517" w:rsidRDefault="004F581D" w:rsidP="004F581D">
      <w:pPr>
        <w:spacing w:line="360" w:lineRule="auto"/>
        <w:jc w:val="center"/>
        <w:rPr>
          <w:rFonts w:ascii="Times New Roman" w:hAnsi="Times New Roman" w:cs="Times New Roman"/>
          <w:sz w:val="24"/>
          <w:szCs w:val="24"/>
        </w:rPr>
      </w:pPr>
    </w:p>
    <w:p w14:paraId="66131026" w14:textId="77777777" w:rsidR="004F581D" w:rsidRPr="00C17517" w:rsidRDefault="004F581D" w:rsidP="004F581D">
      <w:pPr>
        <w:spacing w:line="360" w:lineRule="auto"/>
        <w:jc w:val="center"/>
        <w:rPr>
          <w:rFonts w:ascii="Times New Roman" w:hAnsi="Times New Roman" w:cs="Times New Roman"/>
          <w:sz w:val="24"/>
          <w:szCs w:val="24"/>
        </w:rPr>
      </w:pPr>
      <w:r w:rsidRPr="00C17517">
        <w:rPr>
          <w:rFonts w:ascii="Times New Roman" w:hAnsi="Times New Roman" w:cs="Times New Roman"/>
          <w:b/>
          <w:bCs/>
          <w:sz w:val="24"/>
          <w:szCs w:val="24"/>
        </w:rPr>
        <w:t>DR ANITADAVAMANI K</w:t>
      </w:r>
    </w:p>
    <w:p w14:paraId="045F7F9D" w14:textId="77777777" w:rsidR="004F581D" w:rsidRDefault="004F581D" w:rsidP="004F581D">
      <w:pPr>
        <w:spacing w:line="360" w:lineRule="auto"/>
        <w:jc w:val="center"/>
        <w:rPr>
          <w:rFonts w:ascii="Times New Roman" w:hAnsi="Times New Roman" w:cs="Times New Roman"/>
          <w:b/>
          <w:bCs/>
          <w:sz w:val="24"/>
          <w:szCs w:val="24"/>
        </w:rPr>
      </w:pPr>
    </w:p>
    <w:p w14:paraId="5EAF5C89" w14:textId="77777777" w:rsidR="004F581D" w:rsidRPr="00C17517" w:rsidRDefault="004F581D" w:rsidP="004F581D">
      <w:pPr>
        <w:spacing w:line="360" w:lineRule="auto"/>
        <w:jc w:val="center"/>
        <w:rPr>
          <w:rFonts w:ascii="Times New Roman" w:hAnsi="Times New Roman" w:cs="Times New Roman"/>
          <w:sz w:val="24"/>
          <w:szCs w:val="24"/>
        </w:rPr>
      </w:pPr>
      <w:r w:rsidRPr="00C17517">
        <w:rPr>
          <w:rFonts w:ascii="Times New Roman" w:hAnsi="Times New Roman" w:cs="Times New Roman"/>
          <w:b/>
          <w:bCs/>
          <w:sz w:val="24"/>
          <w:szCs w:val="24"/>
        </w:rPr>
        <w:t>SIMATS ENGINEERING</w:t>
      </w:r>
    </w:p>
    <w:p w14:paraId="087DDDF2" w14:textId="77777777" w:rsidR="004F581D" w:rsidRDefault="004F581D" w:rsidP="004F581D">
      <w:pPr>
        <w:spacing w:line="360" w:lineRule="auto"/>
        <w:jc w:val="center"/>
        <w:rPr>
          <w:rFonts w:ascii="Times New Roman" w:hAnsi="Times New Roman" w:cs="Times New Roman"/>
          <w:sz w:val="24"/>
          <w:szCs w:val="24"/>
        </w:rPr>
      </w:pPr>
    </w:p>
    <w:p w14:paraId="5FB84F26" w14:textId="77777777" w:rsidR="004F581D" w:rsidRPr="00C17517" w:rsidRDefault="004F581D" w:rsidP="004F581D">
      <w:pPr>
        <w:spacing w:line="360" w:lineRule="auto"/>
        <w:jc w:val="center"/>
        <w:rPr>
          <w:rFonts w:ascii="Times New Roman" w:hAnsi="Times New Roman" w:cs="Times New Roman"/>
          <w:sz w:val="24"/>
          <w:szCs w:val="24"/>
        </w:rPr>
      </w:pPr>
      <w:r w:rsidRPr="00C17517">
        <w:rPr>
          <w:rFonts w:ascii="Times New Roman" w:hAnsi="Times New Roman" w:cs="Times New Roman"/>
          <w:sz w:val="24"/>
          <w:szCs w:val="24"/>
        </w:rPr>
        <w:t>Saveetha Institute of Medical and Technical Sciences</w:t>
      </w:r>
    </w:p>
    <w:p w14:paraId="3CC15486" w14:textId="77777777" w:rsidR="004F581D" w:rsidRPr="00C17517" w:rsidRDefault="004F581D" w:rsidP="004F581D">
      <w:pPr>
        <w:spacing w:line="360" w:lineRule="auto"/>
        <w:jc w:val="center"/>
        <w:rPr>
          <w:rFonts w:ascii="Times New Roman" w:hAnsi="Times New Roman" w:cs="Times New Roman"/>
          <w:sz w:val="24"/>
          <w:szCs w:val="24"/>
        </w:rPr>
      </w:pPr>
      <w:r w:rsidRPr="00C17517">
        <w:rPr>
          <w:rFonts w:ascii="Times New Roman" w:hAnsi="Times New Roman" w:cs="Times New Roman"/>
          <w:sz w:val="24"/>
          <w:szCs w:val="24"/>
        </w:rPr>
        <w:t>Chennai — 602105</w:t>
      </w:r>
    </w:p>
    <w:p w14:paraId="5FD46BD9" w14:textId="77777777" w:rsidR="004F581D" w:rsidRDefault="004F581D" w:rsidP="004F581D">
      <w:pPr>
        <w:spacing w:line="360" w:lineRule="auto"/>
        <w:jc w:val="center"/>
        <w:rPr>
          <w:rFonts w:cs="Times New Roman"/>
          <w:b/>
          <w:bCs/>
          <w:sz w:val="24"/>
          <w:szCs w:val="24"/>
        </w:rPr>
      </w:pPr>
      <w:r w:rsidRPr="00C17517">
        <w:rPr>
          <w:rFonts w:ascii="Times New Roman" w:hAnsi="Times New Roman" w:cs="Times New Roman"/>
          <w:b/>
          <w:bCs/>
          <w:sz w:val="24"/>
          <w:szCs w:val="24"/>
        </w:rPr>
        <w:t>Aug 2026</w:t>
      </w:r>
    </w:p>
    <w:p w14:paraId="7AD9DE47" w14:textId="77777777" w:rsidR="009F19BA" w:rsidRDefault="009F19BA">
      <w:pPr>
        <w:sectPr w:rsidR="009F19BA">
          <w:pgSz w:w="12240" w:h="15840"/>
          <w:pgMar w:top="1440" w:right="1350" w:bottom="1440" w:left="1350" w:header="708" w:footer="708" w:gutter="0"/>
          <w:cols w:space="720"/>
          <w:docGrid w:linePitch="360"/>
        </w:sectPr>
      </w:pPr>
    </w:p>
    <w:p w14:paraId="13314581" w14:textId="77777777" w:rsidR="009F19BA" w:rsidRPr="004F581D" w:rsidRDefault="00000000" w:rsidP="004F581D">
      <w:pPr>
        <w:pStyle w:val="Heading1"/>
        <w:pBdr>
          <w:bottom w:val="single" w:sz="6" w:space="4" w:color="1F4E79"/>
        </w:pBdr>
        <w:spacing w:before="320" w:after="16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lastRenderedPageBreak/>
        <w:t>1. Requirements Analysis &amp; CI/CD Needs</w:t>
      </w:r>
    </w:p>
    <w:p w14:paraId="64441524" w14:textId="77777777" w:rsidR="009F19BA" w:rsidRPr="004F581D" w:rsidRDefault="00000000" w:rsidP="004F581D">
      <w:pPr>
        <w:spacing w:after="12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The Medication Adherence Tracker is a health-critical, multi-component system — comprising a patient-facing mobile app (large-text, voice-enabled UI), backend scheduling/notification services, and a caregiver web dashboard. Because missed-dose escalation alerts must be timely and reliable, the system demands frequent, low-risk releases with strong automated safety nets rather than manual, error-prone deployments.</w:t>
      </w:r>
    </w:p>
    <w:p w14:paraId="22EBF786" w14:textId="77777777" w:rsidR="009F19BA" w:rsidRPr="004F581D" w:rsidRDefault="00000000" w:rsidP="004F581D">
      <w:pPr>
        <w:spacing w:after="12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Based on the problem statement and objectives, the following CI/CD needs were identified:</w:t>
      </w:r>
    </w:p>
    <w:p w14:paraId="5183834E" w14:textId="77777777" w:rsidR="009F19BA" w:rsidRPr="004F581D" w:rsidRDefault="00000000" w:rsidP="004F581D">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Frequent integration of changes from multiple contributors (mobile UI, backend scheduling engine, notification service) without breaking the reminder/escalation logic.</w:t>
      </w:r>
    </w:p>
    <w:p w14:paraId="3D5126F2" w14:textId="77777777" w:rsidR="009F19BA" w:rsidRPr="004F581D" w:rsidRDefault="00000000" w:rsidP="004F581D">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Automated build and test execution on every commit, since a regression in dose-confirmation logic could directly endanger a patient.</w:t>
      </w:r>
    </w:p>
    <w:p w14:paraId="6D4FE30F" w14:textId="77777777" w:rsidR="009F19BA" w:rsidRPr="004F581D" w:rsidRDefault="00000000" w:rsidP="004F581D">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Automated security and compliance checks, given the system stores sensitive patient health information (PHI).</w:t>
      </w:r>
    </w:p>
    <w:p w14:paraId="2CC6ABCA" w14:textId="77777777" w:rsidR="009F19BA" w:rsidRPr="004F581D" w:rsidRDefault="00000000" w:rsidP="004F581D">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Zero/low-downtime deployment, since patients rely on the app continuously throughout the day for reminders.</w:t>
      </w:r>
    </w:p>
    <w:p w14:paraId="5CB9293E" w14:textId="77777777" w:rsidR="009F19BA" w:rsidRPr="004F581D" w:rsidRDefault="00000000" w:rsidP="004F581D">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Fast, reliable rollback capability if a release introduces a defect affecting notification delivery.</w:t>
      </w:r>
    </w:p>
    <w:p w14:paraId="46700697" w14:textId="77777777" w:rsidR="009F19BA" w:rsidRPr="004F581D" w:rsidRDefault="00000000" w:rsidP="004F581D">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Automated notifications to the engineering team on pipeline failures, mirroring the product's own caregiver-alert philosophy.</w:t>
      </w:r>
    </w:p>
    <w:p w14:paraId="52B9AB3E" w14:textId="77777777" w:rsidR="009F19BA" w:rsidRPr="004F581D" w:rsidRDefault="00000000" w:rsidP="004F581D">
      <w:pPr>
        <w:pStyle w:val="Heading1"/>
        <w:pBdr>
          <w:bottom w:val="single" w:sz="6" w:space="4" w:color="1F4E79"/>
        </w:pBdr>
        <w:spacing w:before="320" w:after="16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t>2. CI/CD Pipeline Workflow Design</w:t>
      </w:r>
    </w:p>
    <w:p w14:paraId="37EB41F1" w14:textId="77777777" w:rsidR="009F19BA" w:rsidRPr="004F581D" w:rsidRDefault="00000000" w:rsidP="004F581D">
      <w:pPr>
        <w:spacing w:after="12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The pipeline is designed as a sequence of automated stages that take code from developer commit through to production deployment, with quality and security gates enforced at each stage. The ten stages are summarized below and illustrated in the pipeline diagram in Section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6060"/>
      </w:tblGrid>
      <w:tr w:rsidR="009F19BA" w:rsidRPr="004F581D" w14:paraId="43B0BC9D" w14:textId="77777777">
        <w:tblPrEx>
          <w:tblCellMar>
            <w:top w:w="0" w:type="dxa"/>
            <w:bottom w:w="0" w:type="dxa"/>
          </w:tblCellMar>
        </w:tblPrEx>
        <w:trPr>
          <w:tblHeader/>
        </w:trPr>
        <w:tc>
          <w:tcPr>
            <w:tcW w:w="700" w:type="dxa"/>
            <w:shd w:val="clear" w:color="auto" w:fill="1F4E79"/>
            <w:tcMar>
              <w:top w:w="70" w:type="dxa"/>
              <w:left w:w="90" w:type="dxa"/>
              <w:bottom w:w="70" w:type="dxa"/>
              <w:right w:w="90" w:type="dxa"/>
            </w:tcMar>
            <w:vAlign w:val="center"/>
          </w:tcPr>
          <w:p w14:paraId="574D7AEA"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t>#</w:t>
            </w:r>
          </w:p>
        </w:tc>
        <w:tc>
          <w:tcPr>
            <w:tcW w:w="2600" w:type="dxa"/>
            <w:shd w:val="clear" w:color="auto" w:fill="1F4E79"/>
            <w:tcMar>
              <w:top w:w="70" w:type="dxa"/>
              <w:left w:w="90" w:type="dxa"/>
              <w:bottom w:w="70" w:type="dxa"/>
              <w:right w:w="90" w:type="dxa"/>
            </w:tcMar>
            <w:vAlign w:val="center"/>
          </w:tcPr>
          <w:p w14:paraId="52713DF8"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t>Stage</w:t>
            </w:r>
          </w:p>
        </w:tc>
        <w:tc>
          <w:tcPr>
            <w:tcW w:w="6060" w:type="dxa"/>
            <w:shd w:val="clear" w:color="auto" w:fill="1F4E79"/>
            <w:tcMar>
              <w:top w:w="70" w:type="dxa"/>
              <w:left w:w="90" w:type="dxa"/>
              <w:bottom w:w="70" w:type="dxa"/>
              <w:right w:w="90" w:type="dxa"/>
            </w:tcMar>
            <w:vAlign w:val="center"/>
          </w:tcPr>
          <w:p w14:paraId="5D634090"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t>Description</w:t>
            </w:r>
          </w:p>
        </w:tc>
      </w:tr>
      <w:tr w:rsidR="009F19BA" w:rsidRPr="004F581D" w14:paraId="794C4B7E" w14:textId="77777777">
        <w:tblPrEx>
          <w:tblCellMar>
            <w:top w:w="0" w:type="dxa"/>
            <w:bottom w:w="0" w:type="dxa"/>
          </w:tblCellMar>
        </w:tblPrEx>
        <w:tc>
          <w:tcPr>
            <w:tcW w:w="700" w:type="dxa"/>
            <w:shd w:val="clear" w:color="auto" w:fill="FFFFFF"/>
            <w:tcMar>
              <w:top w:w="70" w:type="dxa"/>
              <w:left w:w="90" w:type="dxa"/>
              <w:bottom w:w="70" w:type="dxa"/>
              <w:right w:w="90" w:type="dxa"/>
            </w:tcMar>
            <w:vAlign w:val="center"/>
          </w:tcPr>
          <w:p w14:paraId="6E40A6E1"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1</w:t>
            </w:r>
          </w:p>
        </w:tc>
        <w:tc>
          <w:tcPr>
            <w:tcW w:w="2600" w:type="dxa"/>
            <w:shd w:val="clear" w:color="auto" w:fill="FFFFFF"/>
            <w:tcMar>
              <w:top w:w="70" w:type="dxa"/>
              <w:left w:w="90" w:type="dxa"/>
              <w:bottom w:w="70" w:type="dxa"/>
              <w:right w:w="90" w:type="dxa"/>
            </w:tcMar>
            <w:vAlign w:val="center"/>
          </w:tcPr>
          <w:p w14:paraId="414EE965"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Source Code Management</w:t>
            </w:r>
          </w:p>
        </w:tc>
        <w:tc>
          <w:tcPr>
            <w:tcW w:w="6060" w:type="dxa"/>
            <w:shd w:val="clear" w:color="auto" w:fill="FFFFFF"/>
            <w:tcMar>
              <w:top w:w="70" w:type="dxa"/>
              <w:left w:w="90" w:type="dxa"/>
              <w:bottom w:w="70" w:type="dxa"/>
              <w:right w:w="90" w:type="dxa"/>
            </w:tcMar>
            <w:vAlign w:val="center"/>
          </w:tcPr>
          <w:p w14:paraId="0B5C91A6"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Developer commits/pushes code; Pull Request raised</w:t>
            </w:r>
          </w:p>
        </w:tc>
      </w:tr>
      <w:tr w:rsidR="009F19BA" w:rsidRPr="004F581D" w14:paraId="34C74182" w14:textId="77777777">
        <w:tblPrEx>
          <w:tblCellMar>
            <w:top w:w="0" w:type="dxa"/>
            <w:bottom w:w="0" w:type="dxa"/>
          </w:tblCellMar>
        </w:tblPrEx>
        <w:tc>
          <w:tcPr>
            <w:tcW w:w="700" w:type="dxa"/>
            <w:shd w:val="clear" w:color="auto" w:fill="F2F2F2"/>
            <w:tcMar>
              <w:top w:w="70" w:type="dxa"/>
              <w:left w:w="90" w:type="dxa"/>
              <w:bottom w:w="70" w:type="dxa"/>
              <w:right w:w="90" w:type="dxa"/>
            </w:tcMar>
            <w:vAlign w:val="center"/>
          </w:tcPr>
          <w:p w14:paraId="7EF917D5"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2</w:t>
            </w:r>
          </w:p>
        </w:tc>
        <w:tc>
          <w:tcPr>
            <w:tcW w:w="2600" w:type="dxa"/>
            <w:shd w:val="clear" w:color="auto" w:fill="F2F2F2"/>
            <w:tcMar>
              <w:top w:w="70" w:type="dxa"/>
              <w:left w:w="90" w:type="dxa"/>
              <w:bottom w:w="70" w:type="dxa"/>
              <w:right w:w="90" w:type="dxa"/>
            </w:tcMar>
            <w:vAlign w:val="center"/>
          </w:tcPr>
          <w:p w14:paraId="35143859"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CI Trigger</w:t>
            </w:r>
          </w:p>
        </w:tc>
        <w:tc>
          <w:tcPr>
            <w:tcW w:w="6060" w:type="dxa"/>
            <w:shd w:val="clear" w:color="auto" w:fill="F2F2F2"/>
            <w:tcMar>
              <w:top w:w="70" w:type="dxa"/>
              <w:left w:w="90" w:type="dxa"/>
              <w:bottom w:w="70" w:type="dxa"/>
              <w:right w:w="90" w:type="dxa"/>
            </w:tcMar>
            <w:vAlign w:val="center"/>
          </w:tcPr>
          <w:p w14:paraId="63C26C72"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Webhook auto-triggers pipeline on push/PR/merge</w:t>
            </w:r>
          </w:p>
        </w:tc>
      </w:tr>
      <w:tr w:rsidR="009F19BA" w:rsidRPr="004F581D" w14:paraId="2A8FA25C" w14:textId="77777777">
        <w:tblPrEx>
          <w:tblCellMar>
            <w:top w:w="0" w:type="dxa"/>
            <w:bottom w:w="0" w:type="dxa"/>
          </w:tblCellMar>
        </w:tblPrEx>
        <w:tc>
          <w:tcPr>
            <w:tcW w:w="700" w:type="dxa"/>
            <w:shd w:val="clear" w:color="auto" w:fill="FFFFFF"/>
            <w:tcMar>
              <w:top w:w="70" w:type="dxa"/>
              <w:left w:w="90" w:type="dxa"/>
              <w:bottom w:w="70" w:type="dxa"/>
              <w:right w:w="90" w:type="dxa"/>
            </w:tcMar>
            <w:vAlign w:val="center"/>
          </w:tcPr>
          <w:p w14:paraId="5B28E7E0"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3</w:t>
            </w:r>
          </w:p>
        </w:tc>
        <w:tc>
          <w:tcPr>
            <w:tcW w:w="2600" w:type="dxa"/>
            <w:shd w:val="clear" w:color="auto" w:fill="FFFFFF"/>
            <w:tcMar>
              <w:top w:w="70" w:type="dxa"/>
              <w:left w:w="90" w:type="dxa"/>
              <w:bottom w:w="70" w:type="dxa"/>
              <w:right w:w="90" w:type="dxa"/>
            </w:tcMar>
            <w:vAlign w:val="center"/>
          </w:tcPr>
          <w:p w14:paraId="4B545970"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Build</w:t>
            </w:r>
          </w:p>
        </w:tc>
        <w:tc>
          <w:tcPr>
            <w:tcW w:w="6060" w:type="dxa"/>
            <w:shd w:val="clear" w:color="auto" w:fill="FFFFFF"/>
            <w:tcMar>
              <w:top w:w="70" w:type="dxa"/>
              <w:left w:w="90" w:type="dxa"/>
              <w:bottom w:w="70" w:type="dxa"/>
              <w:right w:w="90" w:type="dxa"/>
            </w:tcMar>
            <w:vAlign w:val="center"/>
          </w:tcPr>
          <w:p w14:paraId="7DF7E816"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Compile code, resolve dependencies, produce build artifact</w:t>
            </w:r>
          </w:p>
        </w:tc>
      </w:tr>
      <w:tr w:rsidR="009F19BA" w:rsidRPr="004F581D" w14:paraId="582B6A42" w14:textId="77777777">
        <w:tblPrEx>
          <w:tblCellMar>
            <w:top w:w="0" w:type="dxa"/>
            <w:bottom w:w="0" w:type="dxa"/>
          </w:tblCellMar>
        </w:tblPrEx>
        <w:tc>
          <w:tcPr>
            <w:tcW w:w="700" w:type="dxa"/>
            <w:shd w:val="clear" w:color="auto" w:fill="F2F2F2"/>
            <w:tcMar>
              <w:top w:w="70" w:type="dxa"/>
              <w:left w:w="90" w:type="dxa"/>
              <w:bottom w:w="70" w:type="dxa"/>
              <w:right w:w="90" w:type="dxa"/>
            </w:tcMar>
            <w:vAlign w:val="center"/>
          </w:tcPr>
          <w:p w14:paraId="63545B64"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lastRenderedPageBreak/>
              <w:t>4</w:t>
            </w:r>
          </w:p>
        </w:tc>
        <w:tc>
          <w:tcPr>
            <w:tcW w:w="2600" w:type="dxa"/>
            <w:shd w:val="clear" w:color="auto" w:fill="F2F2F2"/>
            <w:tcMar>
              <w:top w:w="70" w:type="dxa"/>
              <w:left w:w="90" w:type="dxa"/>
              <w:bottom w:w="70" w:type="dxa"/>
              <w:right w:w="90" w:type="dxa"/>
            </w:tcMar>
            <w:vAlign w:val="center"/>
          </w:tcPr>
          <w:p w14:paraId="3642FF78"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Code Quality &amp; Static Analysis</w:t>
            </w:r>
          </w:p>
        </w:tc>
        <w:tc>
          <w:tcPr>
            <w:tcW w:w="6060" w:type="dxa"/>
            <w:shd w:val="clear" w:color="auto" w:fill="F2F2F2"/>
            <w:tcMar>
              <w:top w:w="70" w:type="dxa"/>
              <w:left w:w="90" w:type="dxa"/>
              <w:bottom w:w="70" w:type="dxa"/>
              <w:right w:w="90" w:type="dxa"/>
            </w:tcMar>
            <w:vAlign w:val="center"/>
          </w:tcPr>
          <w:p w14:paraId="434F66E6"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Linting, SonarQube scan, code coverage check</w:t>
            </w:r>
          </w:p>
        </w:tc>
      </w:tr>
      <w:tr w:rsidR="009F19BA" w:rsidRPr="004F581D" w14:paraId="6758CFA8" w14:textId="77777777">
        <w:tblPrEx>
          <w:tblCellMar>
            <w:top w:w="0" w:type="dxa"/>
            <w:bottom w:w="0" w:type="dxa"/>
          </w:tblCellMar>
        </w:tblPrEx>
        <w:tc>
          <w:tcPr>
            <w:tcW w:w="700" w:type="dxa"/>
            <w:shd w:val="clear" w:color="auto" w:fill="FFFFFF"/>
            <w:tcMar>
              <w:top w:w="70" w:type="dxa"/>
              <w:left w:w="90" w:type="dxa"/>
              <w:bottom w:w="70" w:type="dxa"/>
              <w:right w:w="90" w:type="dxa"/>
            </w:tcMar>
            <w:vAlign w:val="center"/>
          </w:tcPr>
          <w:p w14:paraId="1498449D"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5</w:t>
            </w:r>
          </w:p>
        </w:tc>
        <w:tc>
          <w:tcPr>
            <w:tcW w:w="2600" w:type="dxa"/>
            <w:shd w:val="clear" w:color="auto" w:fill="FFFFFF"/>
            <w:tcMar>
              <w:top w:w="70" w:type="dxa"/>
              <w:left w:w="90" w:type="dxa"/>
              <w:bottom w:w="70" w:type="dxa"/>
              <w:right w:w="90" w:type="dxa"/>
            </w:tcMar>
            <w:vAlign w:val="center"/>
          </w:tcPr>
          <w:p w14:paraId="308CFE52"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Automated Testing</w:t>
            </w:r>
          </w:p>
        </w:tc>
        <w:tc>
          <w:tcPr>
            <w:tcW w:w="6060" w:type="dxa"/>
            <w:shd w:val="clear" w:color="auto" w:fill="FFFFFF"/>
            <w:tcMar>
              <w:top w:w="70" w:type="dxa"/>
              <w:left w:w="90" w:type="dxa"/>
              <w:bottom w:w="70" w:type="dxa"/>
              <w:right w:w="90" w:type="dxa"/>
            </w:tcMar>
            <w:vAlign w:val="center"/>
          </w:tcPr>
          <w:p w14:paraId="2C056DFA"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Unit, integration, API, security &amp; accessibility tests</w:t>
            </w:r>
          </w:p>
        </w:tc>
      </w:tr>
      <w:tr w:rsidR="009F19BA" w:rsidRPr="004F581D" w14:paraId="2B8A23A1" w14:textId="77777777">
        <w:tblPrEx>
          <w:tblCellMar>
            <w:top w:w="0" w:type="dxa"/>
            <w:bottom w:w="0" w:type="dxa"/>
          </w:tblCellMar>
        </w:tblPrEx>
        <w:tc>
          <w:tcPr>
            <w:tcW w:w="700" w:type="dxa"/>
            <w:shd w:val="clear" w:color="auto" w:fill="F2F2F2"/>
            <w:tcMar>
              <w:top w:w="70" w:type="dxa"/>
              <w:left w:w="90" w:type="dxa"/>
              <w:bottom w:w="70" w:type="dxa"/>
              <w:right w:w="90" w:type="dxa"/>
            </w:tcMar>
            <w:vAlign w:val="center"/>
          </w:tcPr>
          <w:p w14:paraId="552356F1"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6</w:t>
            </w:r>
          </w:p>
        </w:tc>
        <w:tc>
          <w:tcPr>
            <w:tcW w:w="2600" w:type="dxa"/>
            <w:shd w:val="clear" w:color="auto" w:fill="F2F2F2"/>
            <w:tcMar>
              <w:top w:w="70" w:type="dxa"/>
              <w:left w:w="90" w:type="dxa"/>
              <w:bottom w:w="70" w:type="dxa"/>
              <w:right w:w="90" w:type="dxa"/>
            </w:tcMar>
            <w:vAlign w:val="center"/>
          </w:tcPr>
          <w:p w14:paraId="47CB3F81"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Packaging / Containerization</w:t>
            </w:r>
          </w:p>
        </w:tc>
        <w:tc>
          <w:tcPr>
            <w:tcW w:w="6060" w:type="dxa"/>
            <w:shd w:val="clear" w:color="auto" w:fill="F2F2F2"/>
            <w:tcMar>
              <w:top w:w="70" w:type="dxa"/>
              <w:left w:w="90" w:type="dxa"/>
              <w:bottom w:w="70" w:type="dxa"/>
              <w:right w:w="90" w:type="dxa"/>
            </w:tcMar>
            <w:vAlign w:val="center"/>
          </w:tcPr>
          <w:p w14:paraId="5B501D8A"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Build Docker image, push to artifact/image registry</w:t>
            </w:r>
          </w:p>
        </w:tc>
      </w:tr>
      <w:tr w:rsidR="009F19BA" w:rsidRPr="004F581D" w14:paraId="1EF7939B" w14:textId="77777777">
        <w:tblPrEx>
          <w:tblCellMar>
            <w:top w:w="0" w:type="dxa"/>
            <w:bottom w:w="0" w:type="dxa"/>
          </w:tblCellMar>
        </w:tblPrEx>
        <w:tc>
          <w:tcPr>
            <w:tcW w:w="700" w:type="dxa"/>
            <w:shd w:val="clear" w:color="auto" w:fill="FFFFFF"/>
            <w:tcMar>
              <w:top w:w="70" w:type="dxa"/>
              <w:left w:w="90" w:type="dxa"/>
              <w:bottom w:w="70" w:type="dxa"/>
              <w:right w:w="90" w:type="dxa"/>
            </w:tcMar>
            <w:vAlign w:val="center"/>
          </w:tcPr>
          <w:p w14:paraId="6D85B1ED"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7</w:t>
            </w:r>
          </w:p>
        </w:tc>
        <w:tc>
          <w:tcPr>
            <w:tcW w:w="2600" w:type="dxa"/>
            <w:shd w:val="clear" w:color="auto" w:fill="FFFFFF"/>
            <w:tcMar>
              <w:top w:w="70" w:type="dxa"/>
              <w:left w:w="90" w:type="dxa"/>
              <w:bottom w:w="70" w:type="dxa"/>
              <w:right w:w="90" w:type="dxa"/>
            </w:tcMar>
            <w:vAlign w:val="center"/>
          </w:tcPr>
          <w:p w14:paraId="3D07B427"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Deploy to Dev / Staging</w:t>
            </w:r>
          </w:p>
        </w:tc>
        <w:tc>
          <w:tcPr>
            <w:tcW w:w="6060" w:type="dxa"/>
            <w:shd w:val="clear" w:color="auto" w:fill="FFFFFF"/>
            <w:tcMar>
              <w:top w:w="70" w:type="dxa"/>
              <w:left w:w="90" w:type="dxa"/>
              <w:bottom w:w="70" w:type="dxa"/>
              <w:right w:w="90" w:type="dxa"/>
            </w:tcMar>
            <w:vAlign w:val="center"/>
          </w:tcPr>
          <w:p w14:paraId="6B971B1A"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Automated deployment to Dev, then Staging for QA/UAT</w:t>
            </w:r>
          </w:p>
        </w:tc>
      </w:tr>
      <w:tr w:rsidR="009F19BA" w:rsidRPr="004F581D" w14:paraId="258332E7" w14:textId="77777777">
        <w:tblPrEx>
          <w:tblCellMar>
            <w:top w:w="0" w:type="dxa"/>
            <w:bottom w:w="0" w:type="dxa"/>
          </w:tblCellMar>
        </w:tblPrEx>
        <w:tc>
          <w:tcPr>
            <w:tcW w:w="700" w:type="dxa"/>
            <w:shd w:val="clear" w:color="auto" w:fill="F2F2F2"/>
            <w:tcMar>
              <w:top w:w="70" w:type="dxa"/>
              <w:left w:w="90" w:type="dxa"/>
              <w:bottom w:w="70" w:type="dxa"/>
              <w:right w:w="90" w:type="dxa"/>
            </w:tcMar>
            <w:vAlign w:val="center"/>
          </w:tcPr>
          <w:p w14:paraId="1AE66F29"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8</w:t>
            </w:r>
          </w:p>
        </w:tc>
        <w:tc>
          <w:tcPr>
            <w:tcW w:w="2600" w:type="dxa"/>
            <w:shd w:val="clear" w:color="auto" w:fill="F2F2F2"/>
            <w:tcMar>
              <w:top w:w="70" w:type="dxa"/>
              <w:left w:w="90" w:type="dxa"/>
              <w:bottom w:w="70" w:type="dxa"/>
              <w:right w:w="90" w:type="dxa"/>
            </w:tcMar>
            <w:vAlign w:val="center"/>
          </w:tcPr>
          <w:p w14:paraId="1543472C"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Approval Gate</w:t>
            </w:r>
          </w:p>
        </w:tc>
        <w:tc>
          <w:tcPr>
            <w:tcW w:w="6060" w:type="dxa"/>
            <w:shd w:val="clear" w:color="auto" w:fill="F2F2F2"/>
            <w:tcMar>
              <w:top w:w="70" w:type="dxa"/>
              <w:left w:w="90" w:type="dxa"/>
              <w:bottom w:w="70" w:type="dxa"/>
              <w:right w:w="90" w:type="dxa"/>
            </w:tcMar>
            <w:vAlign w:val="center"/>
          </w:tcPr>
          <w:p w14:paraId="510E1D34"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Manual sign-off / UAT approval before production release</w:t>
            </w:r>
          </w:p>
        </w:tc>
      </w:tr>
      <w:tr w:rsidR="009F19BA" w:rsidRPr="004F581D" w14:paraId="6E0CEDD3" w14:textId="77777777">
        <w:tblPrEx>
          <w:tblCellMar>
            <w:top w:w="0" w:type="dxa"/>
            <w:bottom w:w="0" w:type="dxa"/>
          </w:tblCellMar>
        </w:tblPrEx>
        <w:tc>
          <w:tcPr>
            <w:tcW w:w="700" w:type="dxa"/>
            <w:shd w:val="clear" w:color="auto" w:fill="FFFFFF"/>
            <w:tcMar>
              <w:top w:w="70" w:type="dxa"/>
              <w:left w:w="90" w:type="dxa"/>
              <w:bottom w:w="70" w:type="dxa"/>
              <w:right w:w="90" w:type="dxa"/>
            </w:tcMar>
            <w:vAlign w:val="center"/>
          </w:tcPr>
          <w:p w14:paraId="354487AF"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9</w:t>
            </w:r>
          </w:p>
        </w:tc>
        <w:tc>
          <w:tcPr>
            <w:tcW w:w="2600" w:type="dxa"/>
            <w:shd w:val="clear" w:color="auto" w:fill="FFFFFF"/>
            <w:tcMar>
              <w:top w:w="70" w:type="dxa"/>
              <w:left w:w="90" w:type="dxa"/>
              <w:bottom w:w="70" w:type="dxa"/>
              <w:right w:w="90" w:type="dxa"/>
            </w:tcMar>
            <w:vAlign w:val="center"/>
          </w:tcPr>
          <w:p w14:paraId="21160E28"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Deploy to Production</w:t>
            </w:r>
          </w:p>
        </w:tc>
        <w:tc>
          <w:tcPr>
            <w:tcW w:w="6060" w:type="dxa"/>
            <w:shd w:val="clear" w:color="auto" w:fill="FFFFFF"/>
            <w:tcMar>
              <w:top w:w="70" w:type="dxa"/>
              <w:left w:w="90" w:type="dxa"/>
              <w:bottom w:w="70" w:type="dxa"/>
              <w:right w:w="90" w:type="dxa"/>
            </w:tcMar>
            <w:vAlign w:val="center"/>
          </w:tcPr>
          <w:p w14:paraId="6629D63E"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Blue-green / canary release to production environment</w:t>
            </w:r>
          </w:p>
        </w:tc>
      </w:tr>
      <w:tr w:rsidR="009F19BA" w:rsidRPr="004F581D" w14:paraId="3E73B46F" w14:textId="77777777">
        <w:tblPrEx>
          <w:tblCellMar>
            <w:top w:w="0" w:type="dxa"/>
            <w:bottom w:w="0" w:type="dxa"/>
          </w:tblCellMar>
        </w:tblPrEx>
        <w:tc>
          <w:tcPr>
            <w:tcW w:w="700" w:type="dxa"/>
            <w:shd w:val="clear" w:color="auto" w:fill="F2F2F2"/>
            <w:tcMar>
              <w:top w:w="70" w:type="dxa"/>
              <w:left w:w="90" w:type="dxa"/>
              <w:bottom w:w="70" w:type="dxa"/>
              <w:right w:w="90" w:type="dxa"/>
            </w:tcMar>
            <w:vAlign w:val="center"/>
          </w:tcPr>
          <w:p w14:paraId="010CA7AD"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10</w:t>
            </w:r>
          </w:p>
        </w:tc>
        <w:tc>
          <w:tcPr>
            <w:tcW w:w="2600" w:type="dxa"/>
            <w:shd w:val="clear" w:color="auto" w:fill="F2F2F2"/>
            <w:tcMar>
              <w:top w:w="70" w:type="dxa"/>
              <w:left w:w="90" w:type="dxa"/>
              <w:bottom w:w="70" w:type="dxa"/>
              <w:right w:w="90" w:type="dxa"/>
            </w:tcMar>
            <w:vAlign w:val="center"/>
          </w:tcPr>
          <w:p w14:paraId="5D893A3D"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 xml:space="preserve">Monitor &amp; </w:t>
            </w:r>
            <w:proofErr w:type="gramStart"/>
            <w:r w:rsidRPr="004F581D">
              <w:rPr>
                <w:rFonts w:ascii="Times New Roman" w:hAnsi="Times New Roman" w:cs="Times New Roman"/>
                <w:color w:val="000000" w:themeColor="text1"/>
                <w:sz w:val="24"/>
                <w:szCs w:val="24"/>
              </w:rPr>
              <w:t>Rollback</w:t>
            </w:r>
            <w:proofErr w:type="gramEnd"/>
          </w:p>
        </w:tc>
        <w:tc>
          <w:tcPr>
            <w:tcW w:w="6060" w:type="dxa"/>
            <w:shd w:val="clear" w:color="auto" w:fill="F2F2F2"/>
            <w:tcMar>
              <w:top w:w="70" w:type="dxa"/>
              <w:left w:w="90" w:type="dxa"/>
              <w:bottom w:w="70" w:type="dxa"/>
              <w:right w:w="90" w:type="dxa"/>
            </w:tcMar>
            <w:vAlign w:val="center"/>
          </w:tcPr>
          <w:p w14:paraId="748C1E4F"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Health checks, monitoring; auto-rollback on failure</w:t>
            </w:r>
          </w:p>
        </w:tc>
      </w:tr>
    </w:tbl>
    <w:p w14:paraId="77DDEA5A"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br w:type="page"/>
      </w:r>
    </w:p>
    <w:p w14:paraId="17746B58" w14:textId="77777777" w:rsidR="009F19BA" w:rsidRPr="004F581D" w:rsidRDefault="00000000" w:rsidP="004F581D">
      <w:pPr>
        <w:pStyle w:val="Heading1"/>
        <w:pBdr>
          <w:bottom w:val="single" w:sz="6" w:space="4" w:color="1F4E79"/>
        </w:pBdr>
        <w:spacing w:before="320" w:after="16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lastRenderedPageBreak/>
        <w:t>3. CI/CD Pipeline Diagram</w:t>
      </w:r>
    </w:p>
    <w:p w14:paraId="6846D121" w14:textId="77777777" w:rsidR="009F19BA" w:rsidRPr="004F581D" w:rsidRDefault="00000000" w:rsidP="004F581D">
      <w:pPr>
        <w:spacing w:after="12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The diagram below illustrates the end-to-end flow of the pipeline from source code commit to production deployment, including the automated quality/security gates and the monitoring/rollback feedback loop.</w:t>
      </w:r>
    </w:p>
    <w:tbl>
      <w:tblPr>
        <w:tblW w:w="9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6"/>
        <w:gridCol w:w="260"/>
        <w:gridCol w:w="1740"/>
        <w:gridCol w:w="260"/>
        <w:gridCol w:w="1740"/>
        <w:gridCol w:w="260"/>
        <w:gridCol w:w="1740"/>
        <w:gridCol w:w="260"/>
        <w:gridCol w:w="1744"/>
      </w:tblGrid>
      <w:tr w:rsidR="009F19BA" w:rsidRPr="004F581D" w14:paraId="7ADB3BB6" w14:textId="77777777">
        <w:tblPrEx>
          <w:tblCellMar>
            <w:top w:w="0" w:type="dxa"/>
            <w:bottom w:w="0" w:type="dxa"/>
          </w:tblCellMar>
        </w:tblPrEx>
        <w:tc>
          <w:tcPr>
            <w:tcW w:w="1750" w:type="dxa"/>
            <w:shd w:val="clear" w:color="auto" w:fill="DCE6F1"/>
            <w:tcMar>
              <w:top w:w="100" w:type="dxa"/>
              <w:left w:w="60" w:type="dxa"/>
              <w:bottom w:w="100" w:type="dxa"/>
              <w:right w:w="60" w:type="dxa"/>
            </w:tcMar>
            <w:vAlign w:val="center"/>
          </w:tcPr>
          <w:p w14:paraId="7FD1C7BC"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t>STAGE 1</w:t>
            </w:r>
          </w:p>
          <w:p w14:paraId="2DE874F4" w14:textId="77777777" w:rsidR="009F19BA" w:rsidRPr="004F581D" w:rsidRDefault="00000000" w:rsidP="004F581D">
            <w:pPr>
              <w:spacing w:before="4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t>Source Code Management</w:t>
            </w:r>
          </w:p>
        </w:tc>
        <w:tc>
          <w:tcPr>
            <w:tcW w:w="250" w:type="dxa"/>
            <w:vAlign w:val="center"/>
          </w:tcPr>
          <w:p w14:paraId="49DB7FA5"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t>→</w:t>
            </w:r>
          </w:p>
        </w:tc>
        <w:tc>
          <w:tcPr>
            <w:tcW w:w="1750" w:type="dxa"/>
            <w:shd w:val="clear" w:color="auto" w:fill="DCE6F1"/>
            <w:tcMar>
              <w:top w:w="100" w:type="dxa"/>
              <w:left w:w="60" w:type="dxa"/>
              <w:bottom w:w="100" w:type="dxa"/>
              <w:right w:w="60" w:type="dxa"/>
            </w:tcMar>
            <w:vAlign w:val="center"/>
          </w:tcPr>
          <w:p w14:paraId="04BCAFF7"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t>STAGE 2</w:t>
            </w:r>
          </w:p>
          <w:p w14:paraId="55B75419" w14:textId="77777777" w:rsidR="009F19BA" w:rsidRPr="004F581D" w:rsidRDefault="00000000" w:rsidP="004F581D">
            <w:pPr>
              <w:spacing w:before="4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t>CI Trigger</w:t>
            </w:r>
          </w:p>
        </w:tc>
        <w:tc>
          <w:tcPr>
            <w:tcW w:w="250" w:type="dxa"/>
            <w:vAlign w:val="center"/>
          </w:tcPr>
          <w:p w14:paraId="752213DA"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t>→</w:t>
            </w:r>
          </w:p>
        </w:tc>
        <w:tc>
          <w:tcPr>
            <w:tcW w:w="1750" w:type="dxa"/>
            <w:shd w:val="clear" w:color="auto" w:fill="DCE6F1"/>
            <w:tcMar>
              <w:top w:w="100" w:type="dxa"/>
              <w:left w:w="60" w:type="dxa"/>
              <w:bottom w:w="100" w:type="dxa"/>
              <w:right w:w="60" w:type="dxa"/>
            </w:tcMar>
            <w:vAlign w:val="center"/>
          </w:tcPr>
          <w:p w14:paraId="37608B0E"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t>STAGE 3</w:t>
            </w:r>
          </w:p>
          <w:p w14:paraId="0DC3717B" w14:textId="77777777" w:rsidR="009F19BA" w:rsidRPr="004F581D" w:rsidRDefault="00000000" w:rsidP="004F581D">
            <w:pPr>
              <w:spacing w:before="4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t>Build</w:t>
            </w:r>
          </w:p>
        </w:tc>
        <w:tc>
          <w:tcPr>
            <w:tcW w:w="250" w:type="dxa"/>
            <w:vAlign w:val="center"/>
          </w:tcPr>
          <w:p w14:paraId="1DE5238C"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t>→</w:t>
            </w:r>
          </w:p>
        </w:tc>
        <w:tc>
          <w:tcPr>
            <w:tcW w:w="1750" w:type="dxa"/>
            <w:shd w:val="clear" w:color="auto" w:fill="DCE6F1"/>
            <w:tcMar>
              <w:top w:w="100" w:type="dxa"/>
              <w:left w:w="60" w:type="dxa"/>
              <w:bottom w:w="100" w:type="dxa"/>
              <w:right w:w="60" w:type="dxa"/>
            </w:tcMar>
            <w:vAlign w:val="center"/>
          </w:tcPr>
          <w:p w14:paraId="7A917D9C"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t>STAGE 4</w:t>
            </w:r>
          </w:p>
          <w:p w14:paraId="3A8CBC03" w14:textId="77777777" w:rsidR="009F19BA" w:rsidRPr="004F581D" w:rsidRDefault="00000000" w:rsidP="004F581D">
            <w:pPr>
              <w:spacing w:before="4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t>Code Quality &amp; Static Analysis</w:t>
            </w:r>
          </w:p>
        </w:tc>
        <w:tc>
          <w:tcPr>
            <w:tcW w:w="250" w:type="dxa"/>
            <w:vAlign w:val="center"/>
          </w:tcPr>
          <w:p w14:paraId="4415A01F"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t>→</w:t>
            </w:r>
          </w:p>
        </w:tc>
        <w:tc>
          <w:tcPr>
            <w:tcW w:w="1750" w:type="dxa"/>
            <w:shd w:val="clear" w:color="auto" w:fill="DCE6F1"/>
            <w:tcMar>
              <w:top w:w="100" w:type="dxa"/>
              <w:left w:w="60" w:type="dxa"/>
              <w:bottom w:w="100" w:type="dxa"/>
              <w:right w:w="60" w:type="dxa"/>
            </w:tcMar>
            <w:vAlign w:val="center"/>
          </w:tcPr>
          <w:p w14:paraId="0CACA7B9"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t>STAGE 5</w:t>
            </w:r>
          </w:p>
          <w:p w14:paraId="56AB0B3E" w14:textId="77777777" w:rsidR="009F19BA" w:rsidRPr="004F581D" w:rsidRDefault="00000000" w:rsidP="004F581D">
            <w:pPr>
              <w:spacing w:before="4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t>Automated Testing</w:t>
            </w:r>
          </w:p>
        </w:tc>
      </w:tr>
    </w:tbl>
    <w:p w14:paraId="478EAE6D" w14:textId="77777777" w:rsidR="009F19BA" w:rsidRPr="004F581D" w:rsidRDefault="00000000" w:rsidP="004F581D">
      <w:pPr>
        <w:spacing w:before="60" w:after="6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t>↓</w:t>
      </w:r>
    </w:p>
    <w:tbl>
      <w:tblPr>
        <w:tblW w:w="9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4"/>
        <w:gridCol w:w="260"/>
        <w:gridCol w:w="1705"/>
        <w:gridCol w:w="260"/>
        <w:gridCol w:w="1715"/>
        <w:gridCol w:w="260"/>
        <w:gridCol w:w="1724"/>
        <w:gridCol w:w="260"/>
        <w:gridCol w:w="1712"/>
      </w:tblGrid>
      <w:tr w:rsidR="009F19BA" w:rsidRPr="004F581D" w14:paraId="4790399B" w14:textId="77777777">
        <w:tblPrEx>
          <w:tblCellMar>
            <w:top w:w="0" w:type="dxa"/>
            <w:bottom w:w="0" w:type="dxa"/>
          </w:tblCellMar>
        </w:tblPrEx>
        <w:tc>
          <w:tcPr>
            <w:tcW w:w="1750" w:type="dxa"/>
            <w:shd w:val="clear" w:color="auto" w:fill="E2F0D9"/>
            <w:tcMar>
              <w:top w:w="100" w:type="dxa"/>
              <w:left w:w="60" w:type="dxa"/>
              <w:bottom w:w="100" w:type="dxa"/>
              <w:right w:w="60" w:type="dxa"/>
            </w:tcMar>
            <w:vAlign w:val="center"/>
          </w:tcPr>
          <w:p w14:paraId="47C6686F"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t>STAGE 6</w:t>
            </w:r>
          </w:p>
          <w:p w14:paraId="21A14630" w14:textId="77777777" w:rsidR="009F19BA" w:rsidRPr="004F581D" w:rsidRDefault="00000000" w:rsidP="004F581D">
            <w:pPr>
              <w:spacing w:before="4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t>Packaging / Containerization</w:t>
            </w:r>
          </w:p>
        </w:tc>
        <w:tc>
          <w:tcPr>
            <w:tcW w:w="250" w:type="dxa"/>
            <w:vAlign w:val="center"/>
          </w:tcPr>
          <w:p w14:paraId="430E6D70"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t>→</w:t>
            </w:r>
          </w:p>
        </w:tc>
        <w:tc>
          <w:tcPr>
            <w:tcW w:w="1750" w:type="dxa"/>
            <w:shd w:val="clear" w:color="auto" w:fill="E2F0D9"/>
            <w:tcMar>
              <w:top w:w="100" w:type="dxa"/>
              <w:left w:w="60" w:type="dxa"/>
              <w:bottom w:w="100" w:type="dxa"/>
              <w:right w:w="60" w:type="dxa"/>
            </w:tcMar>
            <w:vAlign w:val="center"/>
          </w:tcPr>
          <w:p w14:paraId="1B893EE7"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t>STAGE 7</w:t>
            </w:r>
          </w:p>
          <w:p w14:paraId="7B3ED5E4" w14:textId="77777777" w:rsidR="009F19BA" w:rsidRPr="004F581D" w:rsidRDefault="00000000" w:rsidP="004F581D">
            <w:pPr>
              <w:spacing w:before="4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t>Deploy to Dev / Staging</w:t>
            </w:r>
          </w:p>
        </w:tc>
        <w:tc>
          <w:tcPr>
            <w:tcW w:w="250" w:type="dxa"/>
            <w:vAlign w:val="center"/>
          </w:tcPr>
          <w:p w14:paraId="34A091F3"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t>→</w:t>
            </w:r>
          </w:p>
        </w:tc>
        <w:tc>
          <w:tcPr>
            <w:tcW w:w="1750" w:type="dxa"/>
            <w:shd w:val="clear" w:color="auto" w:fill="E2F0D9"/>
            <w:tcMar>
              <w:top w:w="100" w:type="dxa"/>
              <w:left w:w="60" w:type="dxa"/>
              <w:bottom w:w="100" w:type="dxa"/>
              <w:right w:w="60" w:type="dxa"/>
            </w:tcMar>
            <w:vAlign w:val="center"/>
          </w:tcPr>
          <w:p w14:paraId="0F0BF684"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t>STAGE 8</w:t>
            </w:r>
          </w:p>
          <w:p w14:paraId="58FCD442" w14:textId="77777777" w:rsidR="009F19BA" w:rsidRPr="004F581D" w:rsidRDefault="00000000" w:rsidP="004F581D">
            <w:pPr>
              <w:spacing w:before="4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t>Approval Gate</w:t>
            </w:r>
          </w:p>
        </w:tc>
        <w:tc>
          <w:tcPr>
            <w:tcW w:w="250" w:type="dxa"/>
            <w:vAlign w:val="center"/>
          </w:tcPr>
          <w:p w14:paraId="7667CB8E"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t>→</w:t>
            </w:r>
          </w:p>
        </w:tc>
        <w:tc>
          <w:tcPr>
            <w:tcW w:w="1750" w:type="dxa"/>
            <w:shd w:val="clear" w:color="auto" w:fill="E2F0D9"/>
            <w:tcMar>
              <w:top w:w="100" w:type="dxa"/>
              <w:left w:w="60" w:type="dxa"/>
              <w:bottom w:w="100" w:type="dxa"/>
              <w:right w:w="60" w:type="dxa"/>
            </w:tcMar>
            <w:vAlign w:val="center"/>
          </w:tcPr>
          <w:p w14:paraId="06F8EFCA"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t>STAGE 9</w:t>
            </w:r>
          </w:p>
          <w:p w14:paraId="1713CCC3" w14:textId="77777777" w:rsidR="009F19BA" w:rsidRPr="004F581D" w:rsidRDefault="00000000" w:rsidP="004F581D">
            <w:pPr>
              <w:spacing w:before="4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t>Deploy to Production</w:t>
            </w:r>
          </w:p>
        </w:tc>
        <w:tc>
          <w:tcPr>
            <w:tcW w:w="250" w:type="dxa"/>
            <w:vAlign w:val="center"/>
          </w:tcPr>
          <w:p w14:paraId="6DA3070A"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t>→</w:t>
            </w:r>
          </w:p>
        </w:tc>
        <w:tc>
          <w:tcPr>
            <w:tcW w:w="1750" w:type="dxa"/>
            <w:shd w:val="clear" w:color="auto" w:fill="E2F0D9"/>
            <w:tcMar>
              <w:top w:w="100" w:type="dxa"/>
              <w:left w:w="60" w:type="dxa"/>
              <w:bottom w:w="100" w:type="dxa"/>
              <w:right w:w="60" w:type="dxa"/>
            </w:tcMar>
            <w:vAlign w:val="center"/>
          </w:tcPr>
          <w:p w14:paraId="2251FF4C"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t>STAGE 10</w:t>
            </w:r>
          </w:p>
          <w:p w14:paraId="3EBBD968" w14:textId="77777777" w:rsidR="009F19BA" w:rsidRPr="004F581D" w:rsidRDefault="00000000" w:rsidP="004F581D">
            <w:pPr>
              <w:spacing w:before="4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t xml:space="preserve">Monitor &amp; </w:t>
            </w:r>
            <w:proofErr w:type="gramStart"/>
            <w:r w:rsidRPr="004F581D">
              <w:rPr>
                <w:rFonts w:ascii="Times New Roman" w:hAnsi="Times New Roman" w:cs="Times New Roman"/>
                <w:b/>
                <w:bCs/>
                <w:color w:val="000000" w:themeColor="text1"/>
                <w:sz w:val="24"/>
                <w:szCs w:val="24"/>
              </w:rPr>
              <w:t>Rollback</w:t>
            </w:r>
            <w:proofErr w:type="gramEnd"/>
          </w:p>
        </w:tc>
      </w:tr>
    </w:tbl>
    <w:p w14:paraId="02FECC73" w14:textId="77777777" w:rsidR="009F19BA" w:rsidRPr="004F581D" w:rsidRDefault="009F19BA" w:rsidP="004F581D">
      <w:pPr>
        <w:spacing w:after="120" w:line="360" w:lineRule="auto"/>
        <w:jc w:val="both"/>
        <w:rPr>
          <w:rFonts w:ascii="Times New Roman" w:hAnsi="Times New Roman" w:cs="Times New Roman"/>
          <w:color w:val="000000" w:themeColor="text1"/>
          <w:sz w:val="24"/>
          <w:szCs w:val="24"/>
        </w:rPr>
      </w:pPr>
    </w:p>
    <w:p w14:paraId="03F602CA" w14:textId="77777777" w:rsidR="009F19BA" w:rsidRPr="004F581D" w:rsidRDefault="00000000" w:rsidP="004F581D">
      <w:pPr>
        <w:pStyle w:val="Heading2"/>
        <w:spacing w:before="240" w:after="12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t>Workflow Explanation — Commit to Deployment</w:t>
      </w:r>
    </w:p>
    <w:p w14:paraId="0FD5BCE8" w14:textId="77777777" w:rsidR="009F19BA" w:rsidRPr="004F581D" w:rsidRDefault="00000000" w:rsidP="004F581D">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A developer pushes code to a feature branch and opens a Pull Request; this automatically triggers the CI pipeline (Stages 1–2).</w:t>
      </w:r>
    </w:p>
    <w:p w14:paraId="15BCB943" w14:textId="77777777" w:rsidR="009F19BA" w:rsidRPr="004F581D" w:rsidRDefault="00000000" w:rsidP="004F581D">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The pipeline builds the affected service/app (Stage 3), then runs static code analysis and a SonarQube quality gate (Stage 4); the pipeline fails fast if code quality thresholds are not met.</w:t>
      </w:r>
    </w:p>
    <w:p w14:paraId="041BF149" w14:textId="77777777" w:rsidR="009F19BA" w:rsidRPr="004F581D" w:rsidRDefault="00000000" w:rsidP="004F581D">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Automated tests — unit, integration, API, accessibility, and security scans — execute against the build (Stage 5); any failing test blocks the merge.</w:t>
      </w:r>
    </w:p>
    <w:p w14:paraId="3F042040" w14:textId="77777777" w:rsidR="009F19BA" w:rsidRPr="004F581D" w:rsidRDefault="00000000" w:rsidP="004F581D">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On merge to the release branch, the application is packaged into a versioned Docker image and pushed to the artifact/image registry (Stage 6).</w:t>
      </w:r>
    </w:p>
    <w:p w14:paraId="1C560537" w14:textId="77777777" w:rsidR="009F19BA" w:rsidRPr="004F581D" w:rsidRDefault="00000000" w:rsidP="004F581D">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The image is automatically deployed to the Dev environment, then promoted to Staging for QA and UAT, including elderly-user accessibility testing (Stage 7).</w:t>
      </w:r>
    </w:p>
    <w:p w14:paraId="2B12D591" w14:textId="77777777" w:rsidR="009F19BA" w:rsidRPr="004F581D" w:rsidRDefault="00000000" w:rsidP="004F581D">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A manual approval gate (Stage 8) requires QA/product sign-off before the change can reach patients.</w:t>
      </w:r>
    </w:p>
    <w:p w14:paraId="0C97D333" w14:textId="77777777" w:rsidR="009F19BA" w:rsidRPr="004F581D" w:rsidRDefault="00000000" w:rsidP="004F581D">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Once approved, the pipeline performs a blue-green or canary deployment to Production (Stage 9), gradually shifting traffic to the new version.</w:t>
      </w:r>
    </w:p>
    <w:p w14:paraId="378E15DB" w14:textId="77777777" w:rsidR="009F19BA" w:rsidRPr="004F581D" w:rsidRDefault="00000000" w:rsidP="004F581D">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Post-deployment, health checks and monitoring dashboards continuously validate the release; if error rates or missed-notification metrics spike, the pipeline automatically rolls back to the last known-good version (Stage 10).</w:t>
      </w:r>
    </w:p>
    <w:p w14:paraId="60E95397"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lastRenderedPageBreak/>
        <w:br w:type="page"/>
      </w:r>
    </w:p>
    <w:p w14:paraId="7238AA4F" w14:textId="77777777" w:rsidR="009F19BA" w:rsidRPr="004F581D" w:rsidRDefault="00000000" w:rsidP="004F581D">
      <w:pPr>
        <w:pStyle w:val="Heading1"/>
        <w:pBdr>
          <w:bottom w:val="single" w:sz="6" w:space="4" w:color="1F4E79"/>
        </w:pBdr>
        <w:spacing w:before="320" w:after="16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lastRenderedPageBreak/>
        <w:t>4. Tools &amp; Technologies</w:t>
      </w:r>
    </w:p>
    <w:p w14:paraId="02EA8C78" w14:textId="77777777" w:rsidR="009F19BA" w:rsidRPr="004F581D" w:rsidRDefault="00000000" w:rsidP="004F581D">
      <w:pPr>
        <w:spacing w:after="12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The following tools were selected for each pipeline stage, based on integration fit with a Java/Spring Boot backend and a React Native mobile client, ease of automation, and suitability for a healthcare application handling sensitive patient data.</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5360"/>
      </w:tblGrid>
      <w:tr w:rsidR="009F19BA" w:rsidRPr="004F581D" w14:paraId="58361567" w14:textId="77777777">
        <w:tblPrEx>
          <w:tblCellMar>
            <w:top w:w="0" w:type="dxa"/>
            <w:bottom w:w="0" w:type="dxa"/>
          </w:tblCellMar>
        </w:tblPrEx>
        <w:trPr>
          <w:tblHeader/>
        </w:trPr>
        <w:tc>
          <w:tcPr>
            <w:tcW w:w="2000" w:type="dxa"/>
            <w:shd w:val="clear" w:color="auto" w:fill="1F4E79"/>
            <w:tcMar>
              <w:top w:w="70" w:type="dxa"/>
              <w:left w:w="90" w:type="dxa"/>
              <w:bottom w:w="70" w:type="dxa"/>
              <w:right w:w="90" w:type="dxa"/>
            </w:tcMar>
            <w:vAlign w:val="center"/>
          </w:tcPr>
          <w:p w14:paraId="7B1B7D21"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t>Pipeline Area</w:t>
            </w:r>
          </w:p>
        </w:tc>
        <w:tc>
          <w:tcPr>
            <w:tcW w:w="2400" w:type="dxa"/>
            <w:shd w:val="clear" w:color="auto" w:fill="1F4E79"/>
            <w:tcMar>
              <w:top w:w="70" w:type="dxa"/>
              <w:left w:w="90" w:type="dxa"/>
              <w:bottom w:w="70" w:type="dxa"/>
              <w:right w:w="90" w:type="dxa"/>
            </w:tcMar>
            <w:vAlign w:val="center"/>
          </w:tcPr>
          <w:p w14:paraId="689C5B44"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t>Tool(s)</w:t>
            </w:r>
          </w:p>
        </w:tc>
        <w:tc>
          <w:tcPr>
            <w:tcW w:w="5360" w:type="dxa"/>
            <w:shd w:val="clear" w:color="auto" w:fill="1F4E79"/>
            <w:tcMar>
              <w:top w:w="70" w:type="dxa"/>
              <w:left w:w="90" w:type="dxa"/>
              <w:bottom w:w="70" w:type="dxa"/>
              <w:right w:w="90" w:type="dxa"/>
            </w:tcMar>
            <w:vAlign w:val="center"/>
          </w:tcPr>
          <w:p w14:paraId="51662F6C"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t>Justification</w:t>
            </w:r>
          </w:p>
        </w:tc>
      </w:tr>
      <w:tr w:rsidR="009F19BA" w:rsidRPr="004F581D" w14:paraId="6FC1FF5E" w14:textId="77777777">
        <w:tblPrEx>
          <w:tblCellMar>
            <w:top w:w="0" w:type="dxa"/>
            <w:bottom w:w="0" w:type="dxa"/>
          </w:tblCellMar>
        </w:tblPrEx>
        <w:tc>
          <w:tcPr>
            <w:tcW w:w="2000" w:type="dxa"/>
            <w:shd w:val="clear" w:color="auto" w:fill="FFFFFF"/>
            <w:tcMar>
              <w:top w:w="70" w:type="dxa"/>
              <w:left w:w="90" w:type="dxa"/>
              <w:bottom w:w="70" w:type="dxa"/>
              <w:right w:w="90" w:type="dxa"/>
            </w:tcMar>
            <w:vAlign w:val="center"/>
          </w:tcPr>
          <w:p w14:paraId="2DE00216"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 xml:space="preserve">Source Code </w:t>
            </w:r>
            <w:proofErr w:type="spellStart"/>
            <w:r w:rsidRPr="004F581D">
              <w:rPr>
                <w:rFonts w:ascii="Times New Roman" w:hAnsi="Times New Roman" w:cs="Times New Roman"/>
                <w:color w:val="000000" w:themeColor="text1"/>
                <w:sz w:val="24"/>
                <w:szCs w:val="24"/>
              </w:rPr>
              <w:t>Mgmt</w:t>
            </w:r>
            <w:proofErr w:type="spellEnd"/>
          </w:p>
        </w:tc>
        <w:tc>
          <w:tcPr>
            <w:tcW w:w="2400" w:type="dxa"/>
            <w:shd w:val="clear" w:color="auto" w:fill="FFFFFF"/>
            <w:tcMar>
              <w:top w:w="70" w:type="dxa"/>
              <w:left w:w="90" w:type="dxa"/>
              <w:bottom w:w="70" w:type="dxa"/>
              <w:right w:w="90" w:type="dxa"/>
            </w:tcMar>
            <w:vAlign w:val="center"/>
          </w:tcPr>
          <w:p w14:paraId="05BCCE87"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GitHub (Git)</w:t>
            </w:r>
          </w:p>
        </w:tc>
        <w:tc>
          <w:tcPr>
            <w:tcW w:w="5360" w:type="dxa"/>
            <w:shd w:val="clear" w:color="auto" w:fill="FFFFFF"/>
            <w:tcMar>
              <w:top w:w="70" w:type="dxa"/>
              <w:left w:w="90" w:type="dxa"/>
              <w:bottom w:w="70" w:type="dxa"/>
              <w:right w:w="90" w:type="dxa"/>
            </w:tcMar>
            <w:vAlign w:val="center"/>
          </w:tcPr>
          <w:p w14:paraId="374BBDED"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Industry-standard distributed version control; built-in pull-request review, branch protection rules, and native webhook support for CI triggers.</w:t>
            </w:r>
          </w:p>
        </w:tc>
      </w:tr>
      <w:tr w:rsidR="009F19BA" w:rsidRPr="004F581D" w14:paraId="155805C3" w14:textId="77777777">
        <w:tblPrEx>
          <w:tblCellMar>
            <w:top w:w="0" w:type="dxa"/>
            <w:bottom w:w="0" w:type="dxa"/>
          </w:tblCellMar>
        </w:tblPrEx>
        <w:tc>
          <w:tcPr>
            <w:tcW w:w="2000" w:type="dxa"/>
            <w:shd w:val="clear" w:color="auto" w:fill="F2F2F2"/>
            <w:tcMar>
              <w:top w:w="70" w:type="dxa"/>
              <w:left w:w="90" w:type="dxa"/>
              <w:bottom w:w="70" w:type="dxa"/>
              <w:right w:w="90" w:type="dxa"/>
            </w:tcMar>
            <w:vAlign w:val="center"/>
          </w:tcPr>
          <w:p w14:paraId="006EA3ED"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CI/CD Orchestration</w:t>
            </w:r>
          </w:p>
        </w:tc>
        <w:tc>
          <w:tcPr>
            <w:tcW w:w="2400" w:type="dxa"/>
            <w:shd w:val="clear" w:color="auto" w:fill="F2F2F2"/>
            <w:tcMar>
              <w:top w:w="70" w:type="dxa"/>
              <w:left w:w="90" w:type="dxa"/>
              <w:bottom w:w="70" w:type="dxa"/>
              <w:right w:w="90" w:type="dxa"/>
            </w:tcMar>
            <w:vAlign w:val="center"/>
          </w:tcPr>
          <w:p w14:paraId="2F93686E"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GitHub Actions</w:t>
            </w:r>
          </w:p>
        </w:tc>
        <w:tc>
          <w:tcPr>
            <w:tcW w:w="5360" w:type="dxa"/>
            <w:shd w:val="clear" w:color="auto" w:fill="F2F2F2"/>
            <w:tcMar>
              <w:top w:w="70" w:type="dxa"/>
              <w:left w:w="90" w:type="dxa"/>
              <w:bottom w:w="70" w:type="dxa"/>
              <w:right w:w="90" w:type="dxa"/>
            </w:tcMar>
            <w:vAlign w:val="center"/>
          </w:tcPr>
          <w:p w14:paraId="451A19AE"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Tightly integrated with the source repository, YAML-based pipeline-as-code, large marketplace of pre-built actions, and no separate server to maintain.</w:t>
            </w:r>
          </w:p>
        </w:tc>
      </w:tr>
      <w:tr w:rsidR="009F19BA" w:rsidRPr="004F581D" w14:paraId="7FE3E30B" w14:textId="77777777">
        <w:tblPrEx>
          <w:tblCellMar>
            <w:top w:w="0" w:type="dxa"/>
            <w:bottom w:w="0" w:type="dxa"/>
          </w:tblCellMar>
        </w:tblPrEx>
        <w:tc>
          <w:tcPr>
            <w:tcW w:w="2000" w:type="dxa"/>
            <w:shd w:val="clear" w:color="auto" w:fill="FFFFFF"/>
            <w:tcMar>
              <w:top w:w="70" w:type="dxa"/>
              <w:left w:w="90" w:type="dxa"/>
              <w:bottom w:w="70" w:type="dxa"/>
              <w:right w:w="90" w:type="dxa"/>
            </w:tcMar>
            <w:vAlign w:val="center"/>
          </w:tcPr>
          <w:p w14:paraId="6CE1C807"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Build</w:t>
            </w:r>
          </w:p>
        </w:tc>
        <w:tc>
          <w:tcPr>
            <w:tcW w:w="2400" w:type="dxa"/>
            <w:shd w:val="clear" w:color="auto" w:fill="FFFFFF"/>
            <w:tcMar>
              <w:top w:w="70" w:type="dxa"/>
              <w:left w:w="90" w:type="dxa"/>
              <w:bottom w:w="70" w:type="dxa"/>
              <w:right w:w="90" w:type="dxa"/>
            </w:tcMar>
            <w:vAlign w:val="center"/>
          </w:tcPr>
          <w:p w14:paraId="2CC3AB9B"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 xml:space="preserve">Maven (backend), </w:t>
            </w:r>
            <w:proofErr w:type="spellStart"/>
            <w:r w:rsidRPr="004F581D">
              <w:rPr>
                <w:rFonts w:ascii="Times New Roman" w:hAnsi="Times New Roman" w:cs="Times New Roman"/>
                <w:color w:val="000000" w:themeColor="text1"/>
                <w:sz w:val="24"/>
                <w:szCs w:val="24"/>
              </w:rPr>
              <w:t>npm</w:t>
            </w:r>
            <w:proofErr w:type="spellEnd"/>
            <w:r w:rsidRPr="004F581D">
              <w:rPr>
                <w:rFonts w:ascii="Times New Roman" w:hAnsi="Times New Roman" w:cs="Times New Roman"/>
                <w:color w:val="000000" w:themeColor="text1"/>
                <w:sz w:val="24"/>
                <w:szCs w:val="24"/>
              </w:rPr>
              <w:t>/Gradle (mobile app)</w:t>
            </w:r>
          </w:p>
        </w:tc>
        <w:tc>
          <w:tcPr>
            <w:tcW w:w="5360" w:type="dxa"/>
            <w:shd w:val="clear" w:color="auto" w:fill="FFFFFF"/>
            <w:tcMar>
              <w:top w:w="70" w:type="dxa"/>
              <w:left w:w="90" w:type="dxa"/>
              <w:bottom w:w="70" w:type="dxa"/>
              <w:right w:w="90" w:type="dxa"/>
            </w:tcMar>
            <w:vAlign w:val="center"/>
          </w:tcPr>
          <w:p w14:paraId="699B24E9"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Standard build/dependency tools for a Java Spring Boot backend and a React Native / Android-iOS mobile client; reproducible, cache-friendly builds.</w:t>
            </w:r>
          </w:p>
        </w:tc>
      </w:tr>
      <w:tr w:rsidR="009F19BA" w:rsidRPr="004F581D" w14:paraId="37CEF8DA" w14:textId="77777777">
        <w:tblPrEx>
          <w:tblCellMar>
            <w:top w:w="0" w:type="dxa"/>
            <w:bottom w:w="0" w:type="dxa"/>
          </w:tblCellMar>
        </w:tblPrEx>
        <w:tc>
          <w:tcPr>
            <w:tcW w:w="2000" w:type="dxa"/>
            <w:shd w:val="clear" w:color="auto" w:fill="F2F2F2"/>
            <w:tcMar>
              <w:top w:w="70" w:type="dxa"/>
              <w:left w:w="90" w:type="dxa"/>
              <w:bottom w:w="70" w:type="dxa"/>
              <w:right w:w="90" w:type="dxa"/>
            </w:tcMar>
            <w:vAlign w:val="center"/>
          </w:tcPr>
          <w:p w14:paraId="648A2C7B"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Code Quality</w:t>
            </w:r>
          </w:p>
        </w:tc>
        <w:tc>
          <w:tcPr>
            <w:tcW w:w="2400" w:type="dxa"/>
            <w:shd w:val="clear" w:color="auto" w:fill="F2F2F2"/>
            <w:tcMar>
              <w:top w:w="70" w:type="dxa"/>
              <w:left w:w="90" w:type="dxa"/>
              <w:bottom w:w="70" w:type="dxa"/>
              <w:right w:w="90" w:type="dxa"/>
            </w:tcMar>
            <w:vAlign w:val="center"/>
          </w:tcPr>
          <w:p w14:paraId="23D964E5"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 xml:space="preserve">SonarQube + </w:t>
            </w:r>
            <w:proofErr w:type="spellStart"/>
            <w:r w:rsidRPr="004F581D">
              <w:rPr>
                <w:rFonts w:ascii="Times New Roman" w:hAnsi="Times New Roman" w:cs="Times New Roman"/>
                <w:color w:val="000000" w:themeColor="text1"/>
                <w:sz w:val="24"/>
                <w:szCs w:val="24"/>
              </w:rPr>
              <w:t>ESLint</w:t>
            </w:r>
            <w:proofErr w:type="spellEnd"/>
            <w:r w:rsidRPr="004F581D">
              <w:rPr>
                <w:rFonts w:ascii="Times New Roman" w:hAnsi="Times New Roman" w:cs="Times New Roman"/>
                <w:color w:val="000000" w:themeColor="text1"/>
                <w:sz w:val="24"/>
                <w:szCs w:val="24"/>
              </w:rPr>
              <w:t>/</w:t>
            </w:r>
            <w:proofErr w:type="spellStart"/>
            <w:r w:rsidRPr="004F581D">
              <w:rPr>
                <w:rFonts w:ascii="Times New Roman" w:hAnsi="Times New Roman" w:cs="Times New Roman"/>
                <w:color w:val="000000" w:themeColor="text1"/>
                <w:sz w:val="24"/>
                <w:szCs w:val="24"/>
              </w:rPr>
              <w:t>Checkstyle</w:t>
            </w:r>
            <w:proofErr w:type="spellEnd"/>
          </w:p>
        </w:tc>
        <w:tc>
          <w:tcPr>
            <w:tcW w:w="5360" w:type="dxa"/>
            <w:shd w:val="clear" w:color="auto" w:fill="F2F2F2"/>
            <w:tcMar>
              <w:top w:w="70" w:type="dxa"/>
              <w:left w:w="90" w:type="dxa"/>
              <w:bottom w:w="70" w:type="dxa"/>
              <w:right w:w="90" w:type="dxa"/>
            </w:tcMar>
            <w:vAlign w:val="center"/>
          </w:tcPr>
          <w:p w14:paraId="6600627B"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Automated static analysis, code-smell/bug detection, and enforced coverage/quality gates before code can be merged.</w:t>
            </w:r>
          </w:p>
        </w:tc>
      </w:tr>
      <w:tr w:rsidR="009F19BA" w:rsidRPr="004F581D" w14:paraId="4859DC0F" w14:textId="77777777">
        <w:tblPrEx>
          <w:tblCellMar>
            <w:top w:w="0" w:type="dxa"/>
            <w:bottom w:w="0" w:type="dxa"/>
          </w:tblCellMar>
        </w:tblPrEx>
        <w:tc>
          <w:tcPr>
            <w:tcW w:w="2000" w:type="dxa"/>
            <w:shd w:val="clear" w:color="auto" w:fill="FFFFFF"/>
            <w:tcMar>
              <w:top w:w="70" w:type="dxa"/>
              <w:left w:w="90" w:type="dxa"/>
              <w:bottom w:w="70" w:type="dxa"/>
              <w:right w:w="90" w:type="dxa"/>
            </w:tcMar>
            <w:vAlign w:val="center"/>
          </w:tcPr>
          <w:p w14:paraId="1A2D99D1"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Security Scanning</w:t>
            </w:r>
          </w:p>
        </w:tc>
        <w:tc>
          <w:tcPr>
            <w:tcW w:w="2400" w:type="dxa"/>
            <w:shd w:val="clear" w:color="auto" w:fill="FFFFFF"/>
            <w:tcMar>
              <w:top w:w="70" w:type="dxa"/>
              <w:left w:w="90" w:type="dxa"/>
              <w:bottom w:w="70" w:type="dxa"/>
              <w:right w:w="90" w:type="dxa"/>
            </w:tcMar>
            <w:vAlign w:val="center"/>
          </w:tcPr>
          <w:p w14:paraId="62729980"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 xml:space="preserve">OWASP Dependency-Check, Snyk, </w:t>
            </w:r>
            <w:proofErr w:type="spellStart"/>
            <w:r w:rsidRPr="004F581D">
              <w:rPr>
                <w:rFonts w:ascii="Times New Roman" w:hAnsi="Times New Roman" w:cs="Times New Roman"/>
                <w:color w:val="000000" w:themeColor="text1"/>
                <w:sz w:val="24"/>
                <w:szCs w:val="24"/>
              </w:rPr>
              <w:t>Trivy</w:t>
            </w:r>
            <w:proofErr w:type="spellEnd"/>
            <w:r w:rsidRPr="004F581D">
              <w:rPr>
                <w:rFonts w:ascii="Times New Roman" w:hAnsi="Times New Roman" w:cs="Times New Roman"/>
                <w:color w:val="000000" w:themeColor="text1"/>
                <w:sz w:val="24"/>
                <w:szCs w:val="24"/>
              </w:rPr>
              <w:t>, Gitleaks</w:t>
            </w:r>
          </w:p>
        </w:tc>
        <w:tc>
          <w:tcPr>
            <w:tcW w:w="5360" w:type="dxa"/>
            <w:shd w:val="clear" w:color="auto" w:fill="FFFFFF"/>
            <w:tcMar>
              <w:top w:w="70" w:type="dxa"/>
              <w:left w:w="90" w:type="dxa"/>
              <w:bottom w:w="70" w:type="dxa"/>
              <w:right w:w="90" w:type="dxa"/>
            </w:tcMar>
            <w:vAlign w:val="center"/>
          </w:tcPr>
          <w:p w14:paraId="6177B4A4"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Detects vulnerable dependencies, scans container images for CVEs, and prevents secrets/API keys from being committed — critical for a system handling patient health data.</w:t>
            </w:r>
          </w:p>
        </w:tc>
      </w:tr>
      <w:tr w:rsidR="009F19BA" w:rsidRPr="004F581D" w14:paraId="6D01CA99" w14:textId="77777777">
        <w:tblPrEx>
          <w:tblCellMar>
            <w:top w:w="0" w:type="dxa"/>
            <w:bottom w:w="0" w:type="dxa"/>
          </w:tblCellMar>
        </w:tblPrEx>
        <w:tc>
          <w:tcPr>
            <w:tcW w:w="2000" w:type="dxa"/>
            <w:shd w:val="clear" w:color="auto" w:fill="F2F2F2"/>
            <w:tcMar>
              <w:top w:w="70" w:type="dxa"/>
              <w:left w:w="90" w:type="dxa"/>
              <w:bottom w:w="70" w:type="dxa"/>
              <w:right w:w="90" w:type="dxa"/>
            </w:tcMar>
            <w:vAlign w:val="center"/>
          </w:tcPr>
          <w:p w14:paraId="3A5BF52E"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Automated Testing</w:t>
            </w:r>
          </w:p>
        </w:tc>
        <w:tc>
          <w:tcPr>
            <w:tcW w:w="2400" w:type="dxa"/>
            <w:shd w:val="clear" w:color="auto" w:fill="F2F2F2"/>
            <w:tcMar>
              <w:top w:w="70" w:type="dxa"/>
              <w:left w:w="90" w:type="dxa"/>
              <w:bottom w:w="70" w:type="dxa"/>
              <w:right w:w="90" w:type="dxa"/>
            </w:tcMar>
            <w:vAlign w:val="center"/>
          </w:tcPr>
          <w:p w14:paraId="74D9B55B"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JUnit/Mockito, Postman/Newman, Selenium/Appium, JMeter</w:t>
            </w:r>
          </w:p>
        </w:tc>
        <w:tc>
          <w:tcPr>
            <w:tcW w:w="5360" w:type="dxa"/>
            <w:shd w:val="clear" w:color="auto" w:fill="F2F2F2"/>
            <w:tcMar>
              <w:top w:w="70" w:type="dxa"/>
              <w:left w:w="90" w:type="dxa"/>
              <w:bottom w:w="70" w:type="dxa"/>
              <w:right w:w="90" w:type="dxa"/>
            </w:tcMar>
            <w:vAlign w:val="center"/>
          </w:tcPr>
          <w:p w14:paraId="5F0F677B"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Covers unit, API, UI/accessibility, and load/performance testing across backend services and the elderly-facing mobile interface.</w:t>
            </w:r>
          </w:p>
        </w:tc>
      </w:tr>
      <w:tr w:rsidR="009F19BA" w:rsidRPr="004F581D" w14:paraId="67C59A66" w14:textId="77777777">
        <w:tblPrEx>
          <w:tblCellMar>
            <w:top w:w="0" w:type="dxa"/>
            <w:bottom w:w="0" w:type="dxa"/>
          </w:tblCellMar>
        </w:tblPrEx>
        <w:tc>
          <w:tcPr>
            <w:tcW w:w="2000" w:type="dxa"/>
            <w:shd w:val="clear" w:color="auto" w:fill="FFFFFF"/>
            <w:tcMar>
              <w:top w:w="70" w:type="dxa"/>
              <w:left w:w="90" w:type="dxa"/>
              <w:bottom w:w="70" w:type="dxa"/>
              <w:right w:w="90" w:type="dxa"/>
            </w:tcMar>
            <w:vAlign w:val="center"/>
          </w:tcPr>
          <w:p w14:paraId="78C64584"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Packaging</w:t>
            </w:r>
          </w:p>
        </w:tc>
        <w:tc>
          <w:tcPr>
            <w:tcW w:w="2400" w:type="dxa"/>
            <w:shd w:val="clear" w:color="auto" w:fill="FFFFFF"/>
            <w:tcMar>
              <w:top w:w="70" w:type="dxa"/>
              <w:left w:w="90" w:type="dxa"/>
              <w:bottom w:w="70" w:type="dxa"/>
              <w:right w:w="90" w:type="dxa"/>
            </w:tcMar>
            <w:vAlign w:val="center"/>
          </w:tcPr>
          <w:p w14:paraId="6965D58F"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 xml:space="preserve">Docker + </w:t>
            </w:r>
            <w:proofErr w:type="spellStart"/>
            <w:r w:rsidRPr="004F581D">
              <w:rPr>
                <w:rFonts w:ascii="Times New Roman" w:hAnsi="Times New Roman" w:cs="Times New Roman"/>
                <w:color w:val="000000" w:themeColor="text1"/>
                <w:sz w:val="24"/>
                <w:szCs w:val="24"/>
              </w:rPr>
              <w:t>JFrog</w:t>
            </w:r>
            <w:proofErr w:type="spellEnd"/>
            <w:r w:rsidRPr="004F581D">
              <w:rPr>
                <w:rFonts w:ascii="Times New Roman" w:hAnsi="Times New Roman" w:cs="Times New Roman"/>
                <w:color w:val="000000" w:themeColor="text1"/>
                <w:sz w:val="24"/>
                <w:szCs w:val="24"/>
              </w:rPr>
              <w:t xml:space="preserve"> Artifactory / Nexus</w:t>
            </w:r>
          </w:p>
        </w:tc>
        <w:tc>
          <w:tcPr>
            <w:tcW w:w="5360" w:type="dxa"/>
            <w:shd w:val="clear" w:color="auto" w:fill="FFFFFF"/>
            <w:tcMar>
              <w:top w:w="70" w:type="dxa"/>
              <w:left w:w="90" w:type="dxa"/>
              <w:bottom w:w="70" w:type="dxa"/>
              <w:right w:w="90" w:type="dxa"/>
            </w:tcMar>
            <w:vAlign w:val="center"/>
          </w:tcPr>
          <w:p w14:paraId="02BEAB7D"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Consistent, portable deployment artifacts across environments; centralized, versioned storage of build artifacts and images.</w:t>
            </w:r>
          </w:p>
        </w:tc>
      </w:tr>
      <w:tr w:rsidR="009F19BA" w:rsidRPr="004F581D" w14:paraId="5BF0F514" w14:textId="77777777">
        <w:tblPrEx>
          <w:tblCellMar>
            <w:top w:w="0" w:type="dxa"/>
            <w:bottom w:w="0" w:type="dxa"/>
          </w:tblCellMar>
        </w:tblPrEx>
        <w:tc>
          <w:tcPr>
            <w:tcW w:w="2000" w:type="dxa"/>
            <w:shd w:val="clear" w:color="auto" w:fill="F2F2F2"/>
            <w:tcMar>
              <w:top w:w="70" w:type="dxa"/>
              <w:left w:w="90" w:type="dxa"/>
              <w:bottom w:w="70" w:type="dxa"/>
              <w:right w:w="90" w:type="dxa"/>
            </w:tcMar>
            <w:vAlign w:val="center"/>
          </w:tcPr>
          <w:p w14:paraId="22C1198B"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lastRenderedPageBreak/>
              <w:t>Deployment / Orchestration</w:t>
            </w:r>
          </w:p>
        </w:tc>
        <w:tc>
          <w:tcPr>
            <w:tcW w:w="2400" w:type="dxa"/>
            <w:shd w:val="clear" w:color="auto" w:fill="F2F2F2"/>
            <w:tcMar>
              <w:top w:w="70" w:type="dxa"/>
              <w:left w:w="90" w:type="dxa"/>
              <w:bottom w:w="70" w:type="dxa"/>
              <w:right w:w="90" w:type="dxa"/>
            </w:tcMar>
            <w:vAlign w:val="center"/>
          </w:tcPr>
          <w:p w14:paraId="64FDB5D9"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Kubernetes (EKS/GKE) + Helm</w:t>
            </w:r>
          </w:p>
        </w:tc>
        <w:tc>
          <w:tcPr>
            <w:tcW w:w="5360" w:type="dxa"/>
            <w:shd w:val="clear" w:color="auto" w:fill="F2F2F2"/>
            <w:tcMar>
              <w:top w:w="70" w:type="dxa"/>
              <w:left w:w="90" w:type="dxa"/>
              <w:bottom w:w="70" w:type="dxa"/>
              <w:right w:w="90" w:type="dxa"/>
            </w:tcMar>
            <w:vAlign w:val="center"/>
          </w:tcPr>
          <w:p w14:paraId="74362331"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Enables blue-green/canary deployments, auto-scaling for notification spikes, and self-healing of failed pods.</w:t>
            </w:r>
          </w:p>
        </w:tc>
      </w:tr>
      <w:tr w:rsidR="009F19BA" w:rsidRPr="004F581D" w14:paraId="33B4300C" w14:textId="77777777">
        <w:tblPrEx>
          <w:tblCellMar>
            <w:top w:w="0" w:type="dxa"/>
            <w:bottom w:w="0" w:type="dxa"/>
          </w:tblCellMar>
        </w:tblPrEx>
        <w:tc>
          <w:tcPr>
            <w:tcW w:w="2000" w:type="dxa"/>
            <w:shd w:val="clear" w:color="auto" w:fill="FFFFFF"/>
            <w:tcMar>
              <w:top w:w="70" w:type="dxa"/>
              <w:left w:w="90" w:type="dxa"/>
              <w:bottom w:w="70" w:type="dxa"/>
              <w:right w:w="90" w:type="dxa"/>
            </w:tcMar>
            <w:vAlign w:val="center"/>
          </w:tcPr>
          <w:p w14:paraId="45F6D7DB"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Infrastructure as Code</w:t>
            </w:r>
          </w:p>
        </w:tc>
        <w:tc>
          <w:tcPr>
            <w:tcW w:w="2400" w:type="dxa"/>
            <w:shd w:val="clear" w:color="auto" w:fill="FFFFFF"/>
            <w:tcMar>
              <w:top w:w="70" w:type="dxa"/>
              <w:left w:w="90" w:type="dxa"/>
              <w:bottom w:w="70" w:type="dxa"/>
              <w:right w:w="90" w:type="dxa"/>
            </w:tcMar>
            <w:vAlign w:val="center"/>
          </w:tcPr>
          <w:p w14:paraId="29C3D35D"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Terraform</w:t>
            </w:r>
          </w:p>
        </w:tc>
        <w:tc>
          <w:tcPr>
            <w:tcW w:w="5360" w:type="dxa"/>
            <w:shd w:val="clear" w:color="auto" w:fill="FFFFFF"/>
            <w:tcMar>
              <w:top w:w="70" w:type="dxa"/>
              <w:left w:w="90" w:type="dxa"/>
              <w:bottom w:w="70" w:type="dxa"/>
              <w:right w:w="90" w:type="dxa"/>
            </w:tcMar>
            <w:vAlign w:val="center"/>
          </w:tcPr>
          <w:p w14:paraId="5890525A"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Version-controlled, repeatable provisioning of Dev/Staging/Production infrastructure, reducing configuration drift.</w:t>
            </w:r>
          </w:p>
        </w:tc>
      </w:tr>
      <w:tr w:rsidR="009F19BA" w:rsidRPr="004F581D" w14:paraId="592822ED" w14:textId="77777777">
        <w:tblPrEx>
          <w:tblCellMar>
            <w:top w:w="0" w:type="dxa"/>
            <w:bottom w:w="0" w:type="dxa"/>
          </w:tblCellMar>
        </w:tblPrEx>
        <w:tc>
          <w:tcPr>
            <w:tcW w:w="2000" w:type="dxa"/>
            <w:shd w:val="clear" w:color="auto" w:fill="F2F2F2"/>
            <w:tcMar>
              <w:top w:w="70" w:type="dxa"/>
              <w:left w:w="90" w:type="dxa"/>
              <w:bottom w:w="70" w:type="dxa"/>
              <w:right w:w="90" w:type="dxa"/>
            </w:tcMar>
            <w:vAlign w:val="center"/>
          </w:tcPr>
          <w:p w14:paraId="22A3FEAC"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Secrets Management</w:t>
            </w:r>
          </w:p>
        </w:tc>
        <w:tc>
          <w:tcPr>
            <w:tcW w:w="2400" w:type="dxa"/>
            <w:shd w:val="clear" w:color="auto" w:fill="F2F2F2"/>
            <w:tcMar>
              <w:top w:w="70" w:type="dxa"/>
              <w:left w:w="90" w:type="dxa"/>
              <w:bottom w:w="70" w:type="dxa"/>
              <w:right w:w="90" w:type="dxa"/>
            </w:tcMar>
            <w:vAlign w:val="center"/>
          </w:tcPr>
          <w:p w14:paraId="086DDCD0"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proofErr w:type="spellStart"/>
            <w:r w:rsidRPr="004F581D">
              <w:rPr>
                <w:rFonts w:ascii="Times New Roman" w:hAnsi="Times New Roman" w:cs="Times New Roman"/>
                <w:color w:val="000000" w:themeColor="text1"/>
                <w:sz w:val="24"/>
                <w:szCs w:val="24"/>
              </w:rPr>
              <w:t>HashiCorp</w:t>
            </w:r>
            <w:proofErr w:type="spellEnd"/>
            <w:r w:rsidRPr="004F581D">
              <w:rPr>
                <w:rFonts w:ascii="Times New Roman" w:hAnsi="Times New Roman" w:cs="Times New Roman"/>
                <w:color w:val="000000" w:themeColor="text1"/>
                <w:sz w:val="24"/>
                <w:szCs w:val="24"/>
              </w:rPr>
              <w:t xml:space="preserve"> Vault / AWS Secrets Manager</w:t>
            </w:r>
          </w:p>
        </w:tc>
        <w:tc>
          <w:tcPr>
            <w:tcW w:w="5360" w:type="dxa"/>
            <w:shd w:val="clear" w:color="auto" w:fill="F2F2F2"/>
            <w:tcMar>
              <w:top w:w="70" w:type="dxa"/>
              <w:left w:w="90" w:type="dxa"/>
              <w:bottom w:w="70" w:type="dxa"/>
              <w:right w:w="90" w:type="dxa"/>
            </w:tcMar>
            <w:vAlign w:val="center"/>
          </w:tcPr>
          <w:p w14:paraId="79BCC03F"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Secure storage and rotation of database credentials and API keys, supporting HIPAA/GDPR-aligned data protection.</w:t>
            </w:r>
          </w:p>
        </w:tc>
      </w:tr>
      <w:tr w:rsidR="009F19BA" w:rsidRPr="004F581D" w14:paraId="0E2402E3" w14:textId="77777777">
        <w:tblPrEx>
          <w:tblCellMar>
            <w:top w:w="0" w:type="dxa"/>
            <w:bottom w:w="0" w:type="dxa"/>
          </w:tblCellMar>
        </w:tblPrEx>
        <w:tc>
          <w:tcPr>
            <w:tcW w:w="2000" w:type="dxa"/>
            <w:shd w:val="clear" w:color="auto" w:fill="FFFFFF"/>
            <w:tcMar>
              <w:top w:w="70" w:type="dxa"/>
              <w:left w:w="90" w:type="dxa"/>
              <w:bottom w:w="70" w:type="dxa"/>
              <w:right w:w="90" w:type="dxa"/>
            </w:tcMar>
            <w:vAlign w:val="center"/>
          </w:tcPr>
          <w:p w14:paraId="73D0C99E"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Monitoring &amp; Logging</w:t>
            </w:r>
          </w:p>
        </w:tc>
        <w:tc>
          <w:tcPr>
            <w:tcW w:w="2400" w:type="dxa"/>
            <w:shd w:val="clear" w:color="auto" w:fill="FFFFFF"/>
            <w:tcMar>
              <w:top w:w="70" w:type="dxa"/>
              <w:left w:w="90" w:type="dxa"/>
              <w:bottom w:w="70" w:type="dxa"/>
              <w:right w:w="90" w:type="dxa"/>
            </w:tcMar>
            <w:vAlign w:val="center"/>
          </w:tcPr>
          <w:p w14:paraId="2BD3A557"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Prometheus + Grafana, ELK Stack</w:t>
            </w:r>
          </w:p>
        </w:tc>
        <w:tc>
          <w:tcPr>
            <w:tcW w:w="5360" w:type="dxa"/>
            <w:shd w:val="clear" w:color="auto" w:fill="FFFFFF"/>
            <w:tcMar>
              <w:top w:w="70" w:type="dxa"/>
              <w:left w:w="90" w:type="dxa"/>
              <w:bottom w:w="70" w:type="dxa"/>
              <w:right w:w="90" w:type="dxa"/>
            </w:tcMar>
            <w:vAlign w:val="center"/>
          </w:tcPr>
          <w:p w14:paraId="717AC6A8"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Real-time visibility into pipeline health, application performance, and dose-alert delivery latency; supports fast rollback decisions.</w:t>
            </w:r>
          </w:p>
        </w:tc>
      </w:tr>
      <w:tr w:rsidR="009F19BA" w:rsidRPr="004F581D" w14:paraId="74AAE429" w14:textId="77777777">
        <w:tblPrEx>
          <w:tblCellMar>
            <w:top w:w="0" w:type="dxa"/>
            <w:bottom w:w="0" w:type="dxa"/>
          </w:tblCellMar>
        </w:tblPrEx>
        <w:tc>
          <w:tcPr>
            <w:tcW w:w="2000" w:type="dxa"/>
            <w:shd w:val="clear" w:color="auto" w:fill="F2F2F2"/>
            <w:tcMar>
              <w:top w:w="70" w:type="dxa"/>
              <w:left w:w="90" w:type="dxa"/>
              <w:bottom w:w="70" w:type="dxa"/>
              <w:right w:w="90" w:type="dxa"/>
            </w:tcMar>
            <w:vAlign w:val="center"/>
          </w:tcPr>
          <w:p w14:paraId="168F68A7"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Notifications</w:t>
            </w:r>
          </w:p>
        </w:tc>
        <w:tc>
          <w:tcPr>
            <w:tcW w:w="2400" w:type="dxa"/>
            <w:shd w:val="clear" w:color="auto" w:fill="F2F2F2"/>
            <w:tcMar>
              <w:top w:w="70" w:type="dxa"/>
              <w:left w:w="90" w:type="dxa"/>
              <w:bottom w:w="70" w:type="dxa"/>
              <w:right w:w="90" w:type="dxa"/>
            </w:tcMar>
            <w:vAlign w:val="center"/>
          </w:tcPr>
          <w:p w14:paraId="16AE8C43"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Slack / Microsoft Teams + Email (SMTP)</w:t>
            </w:r>
          </w:p>
        </w:tc>
        <w:tc>
          <w:tcPr>
            <w:tcW w:w="5360" w:type="dxa"/>
            <w:shd w:val="clear" w:color="auto" w:fill="F2F2F2"/>
            <w:tcMar>
              <w:top w:w="70" w:type="dxa"/>
              <w:left w:w="90" w:type="dxa"/>
              <w:bottom w:w="70" w:type="dxa"/>
              <w:right w:w="90" w:type="dxa"/>
            </w:tcMar>
            <w:vAlign w:val="center"/>
          </w:tcPr>
          <w:p w14:paraId="4147A5A8"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Immediate visibility of pipeline success/failure to the development and QA teams, mirroring the product's own caregiver-alert philosophy.</w:t>
            </w:r>
          </w:p>
        </w:tc>
      </w:tr>
    </w:tbl>
    <w:p w14:paraId="5AFFF9B2"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br w:type="page"/>
      </w:r>
    </w:p>
    <w:p w14:paraId="291B04CC" w14:textId="77777777" w:rsidR="009F19BA" w:rsidRPr="004F581D" w:rsidRDefault="00000000" w:rsidP="004F581D">
      <w:pPr>
        <w:pStyle w:val="Heading1"/>
        <w:pBdr>
          <w:bottom w:val="single" w:sz="6" w:space="4" w:color="1F4E79"/>
        </w:pBdr>
        <w:spacing w:before="320" w:after="16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lastRenderedPageBreak/>
        <w:t>5. Automated Testing Strategy</w:t>
      </w:r>
    </w:p>
    <w:p w14:paraId="0C93C581" w14:textId="77777777" w:rsidR="009F19BA" w:rsidRPr="004F581D" w:rsidRDefault="00000000" w:rsidP="004F581D">
      <w:pPr>
        <w:spacing w:after="12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Testing is embedded at multiple points in the pipeline rather than performed only at the end, so defects are caught as early and cheaply as possible:</w:t>
      </w:r>
    </w:p>
    <w:p w14:paraId="1C0C8C9B" w14:textId="77777777" w:rsidR="009F19BA" w:rsidRPr="004F581D" w:rsidRDefault="00000000" w:rsidP="004F581D">
      <w:pPr>
        <w:pStyle w:val="Heading2"/>
        <w:spacing w:before="240" w:after="12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t>5.1 Unit Testing</w:t>
      </w:r>
    </w:p>
    <w:p w14:paraId="287AC644" w14:textId="77777777" w:rsidR="009F19BA" w:rsidRPr="004F581D" w:rsidRDefault="00000000" w:rsidP="004F581D">
      <w:pPr>
        <w:spacing w:after="12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Runs on every commit using JUnit/Mockito for backend services (e.g., escalation-timer logic, dosage validation) and Jest for the mobile/notification front-end code. A minimum code-coverage threshold (e.g., 80%) is enforced as a merge gate.</w:t>
      </w:r>
    </w:p>
    <w:p w14:paraId="0914DBC6" w14:textId="77777777" w:rsidR="009F19BA" w:rsidRPr="004F581D" w:rsidRDefault="00000000" w:rsidP="004F581D">
      <w:pPr>
        <w:pStyle w:val="Heading2"/>
        <w:spacing w:before="240" w:after="12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t>5.2 Integration &amp; API Testing</w:t>
      </w:r>
    </w:p>
    <w:p w14:paraId="003FEFD5" w14:textId="77777777" w:rsidR="009F19BA" w:rsidRPr="004F581D" w:rsidRDefault="00000000" w:rsidP="004F581D">
      <w:pPr>
        <w:spacing w:after="12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Postman/Newman collections validate REST API contracts between the mobile app, scheduling service, and caregiver dashboard — e.g., verifying that a logged dose correctly updates the adherence history endpoint.</w:t>
      </w:r>
    </w:p>
    <w:p w14:paraId="2FE07AFF" w14:textId="77777777" w:rsidR="009F19BA" w:rsidRPr="004F581D" w:rsidRDefault="00000000" w:rsidP="004F581D">
      <w:pPr>
        <w:pStyle w:val="Heading2"/>
        <w:spacing w:before="240" w:after="12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t>5.3 UI &amp; Accessibility Testing</w:t>
      </w:r>
    </w:p>
    <w:p w14:paraId="51DB6074" w14:textId="77777777" w:rsidR="009F19BA" w:rsidRPr="004F581D" w:rsidRDefault="00000000" w:rsidP="004F581D">
      <w:pPr>
        <w:spacing w:after="12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Selenium (web caregiver dashboard) and Appium (mobile app) automate regression testing of the elderly-friendly interface, including automated checks for minimum font size, contrast ratio, and screen-reader label presence.</w:t>
      </w:r>
    </w:p>
    <w:p w14:paraId="681025DE" w14:textId="77777777" w:rsidR="009F19BA" w:rsidRPr="004F581D" w:rsidRDefault="00000000" w:rsidP="004F581D">
      <w:pPr>
        <w:pStyle w:val="Heading2"/>
        <w:spacing w:before="240" w:after="12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t>5.4 Security Testing</w:t>
      </w:r>
    </w:p>
    <w:p w14:paraId="4E89ACC9" w14:textId="77777777" w:rsidR="009F19BA" w:rsidRPr="004F581D" w:rsidRDefault="00000000" w:rsidP="004F581D">
      <w:pPr>
        <w:spacing w:after="12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Static Application Security Testing (SAST) via SonarQube/</w:t>
      </w:r>
      <w:proofErr w:type="spellStart"/>
      <w:r w:rsidRPr="004F581D">
        <w:rPr>
          <w:rFonts w:ascii="Times New Roman" w:hAnsi="Times New Roman" w:cs="Times New Roman"/>
          <w:color w:val="000000" w:themeColor="text1"/>
          <w:sz w:val="24"/>
          <w:szCs w:val="24"/>
        </w:rPr>
        <w:t>Snyk</w:t>
      </w:r>
      <w:proofErr w:type="spellEnd"/>
      <w:r w:rsidRPr="004F581D">
        <w:rPr>
          <w:rFonts w:ascii="Times New Roman" w:hAnsi="Times New Roman" w:cs="Times New Roman"/>
          <w:color w:val="000000" w:themeColor="text1"/>
          <w:sz w:val="24"/>
          <w:szCs w:val="24"/>
        </w:rPr>
        <w:t xml:space="preserve"> runs on every build; Dynamic Application Security Testing (DAST) runs against the Staging environment before production approval, given the system's handling of protected health information.</w:t>
      </w:r>
    </w:p>
    <w:p w14:paraId="12B66D85" w14:textId="77777777" w:rsidR="009F19BA" w:rsidRPr="004F581D" w:rsidRDefault="00000000" w:rsidP="004F581D">
      <w:pPr>
        <w:pStyle w:val="Heading2"/>
        <w:spacing w:before="240" w:after="12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t>5.5 Performance &amp; Load Testing</w:t>
      </w:r>
    </w:p>
    <w:p w14:paraId="7B943A44" w14:textId="77777777" w:rsidR="009F19BA" w:rsidRPr="004F581D" w:rsidRDefault="00000000" w:rsidP="004F581D">
      <w:pPr>
        <w:spacing w:after="12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JMeter simulates concurrent notification bursts (e.g., many patients due for medication at the same hour) against Staging to validate that reminder delivery stays within the 5-second performance target under load.</w:t>
      </w:r>
    </w:p>
    <w:p w14:paraId="008C3054" w14:textId="77777777" w:rsidR="009F19BA" w:rsidRPr="004F581D" w:rsidRDefault="00000000" w:rsidP="004F581D">
      <w:pPr>
        <w:pStyle w:val="Heading2"/>
        <w:spacing w:before="240" w:after="12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t>5.6 Smoke Testing</w:t>
      </w:r>
    </w:p>
    <w:p w14:paraId="1D26B01A" w14:textId="77777777" w:rsidR="009F19BA" w:rsidRPr="004F581D" w:rsidRDefault="00000000" w:rsidP="004F581D">
      <w:pPr>
        <w:spacing w:after="12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A lightweight automated smoke-test suite runs immediately after each production deployment to confirm core flows — login, schedule retrieval, and reminder delivery — are functioning before traffic is fully shifted.</w:t>
      </w:r>
    </w:p>
    <w:p w14:paraId="703EA804" w14:textId="77777777" w:rsidR="009F19BA" w:rsidRPr="004F581D" w:rsidRDefault="00000000" w:rsidP="004F581D">
      <w:pPr>
        <w:pStyle w:val="Heading1"/>
        <w:pBdr>
          <w:bottom w:val="single" w:sz="6" w:space="4" w:color="1F4E79"/>
        </w:pBdr>
        <w:spacing w:before="320" w:after="16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lastRenderedPageBreak/>
        <w:t>6. Deployment Strategy</w:t>
      </w:r>
    </w:p>
    <w:p w14:paraId="2EC08D3D" w14:textId="77777777" w:rsidR="009F19BA" w:rsidRPr="004F581D" w:rsidRDefault="00000000" w:rsidP="004F581D">
      <w:pPr>
        <w:spacing w:after="12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The pipeline promotes a single build artifact through three progressively production-like environments, ensuring issues are caught before reaching patients:</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200"/>
        <w:gridCol w:w="2400"/>
        <w:gridCol w:w="3460"/>
      </w:tblGrid>
      <w:tr w:rsidR="009F19BA" w:rsidRPr="004F581D" w14:paraId="1DB00896" w14:textId="77777777">
        <w:tblPrEx>
          <w:tblCellMar>
            <w:top w:w="0" w:type="dxa"/>
            <w:bottom w:w="0" w:type="dxa"/>
          </w:tblCellMar>
        </w:tblPrEx>
        <w:trPr>
          <w:tblHeader/>
        </w:trPr>
        <w:tc>
          <w:tcPr>
            <w:tcW w:w="1700" w:type="dxa"/>
            <w:shd w:val="clear" w:color="auto" w:fill="1F4E79"/>
            <w:tcMar>
              <w:top w:w="70" w:type="dxa"/>
              <w:left w:w="90" w:type="dxa"/>
              <w:bottom w:w="70" w:type="dxa"/>
              <w:right w:w="90" w:type="dxa"/>
            </w:tcMar>
            <w:vAlign w:val="center"/>
          </w:tcPr>
          <w:p w14:paraId="2BF72F0F"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t>Environment</w:t>
            </w:r>
          </w:p>
        </w:tc>
        <w:tc>
          <w:tcPr>
            <w:tcW w:w="2200" w:type="dxa"/>
            <w:shd w:val="clear" w:color="auto" w:fill="1F4E79"/>
            <w:tcMar>
              <w:top w:w="70" w:type="dxa"/>
              <w:left w:w="90" w:type="dxa"/>
              <w:bottom w:w="70" w:type="dxa"/>
              <w:right w:w="90" w:type="dxa"/>
            </w:tcMar>
            <w:vAlign w:val="center"/>
          </w:tcPr>
          <w:p w14:paraId="44D51A61"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t>Trigger</w:t>
            </w:r>
          </w:p>
        </w:tc>
        <w:tc>
          <w:tcPr>
            <w:tcW w:w="2400" w:type="dxa"/>
            <w:shd w:val="clear" w:color="auto" w:fill="1F4E79"/>
            <w:tcMar>
              <w:top w:w="70" w:type="dxa"/>
              <w:left w:w="90" w:type="dxa"/>
              <w:bottom w:w="70" w:type="dxa"/>
              <w:right w:w="90" w:type="dxa"/>
            </w:tcMar>
            <w:vAlign w:val="center"/>
          </w:tcPr>
          <w:p w14:paraId="3E61E377"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t>Deployment Mode</w:t>
            </w:r>
          </w:p>
        </w:tc>
        <w:tc>
          <w:tcPr>
            <w:tcW w:w="3460" w:type="dxa"/>
            <w:shd w:val="clear" w:color="auto" w:fill="1F4E79"/>
            <w:tcMar>
              <w:top w:w="70" w:type="dxa"/>
              <w:left w:w="90" w:type="dxa"/>
              <w:bottom w:w="70" w:type="dxa"/>
              <w:right w:w="90" w:type="dxa"/>
            </w:tcMar>
            <w:vAlign w:val="center"/>
          </w:tcPr>
          <w:p w14:paraId="4C60191B"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t>Purpose</w:t>
            </w:r>
          </w:p>
        </w:tc>
      </w:tr>
      <w:tr w:rsidR="009F19BA" w:rsidRPr="004F581D" w14:paraId="327F4506" w14:textId="77777777">
        <w:tblPrEx>
          <w:tblCellMar>
            <w:top w:w="0" w:type="dxa"/>
            <w:bottom w:w="0" w:type="dxa"/>
          </w:tblCellMar>
        </w:tblPrEx>
        <w:tc>
          <w:tcPr>
            <w:tcW w:w="1700" w:type="dxa"/>
            <w:shd w:val="clear" w:color="auto" w:fill="FFFFFF"/>
            <w:tcMar>
              <w:top w:w="70" w:type="dxa"/>
              <w:left w:w="90" w:type="dxa"/>
              <w:bottom w:w="70" w:type="dxa"/>
              <w:right w:w="90" w:type="dxa"/>
            </w:tcMar>
            <w:vAlign w:val="center"/>
          </w:tcPr>
          <w:p w14:paraId="05462BED"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Development (Dev)</w:t>
            </w:r>
          </w:p>
        </w:tc>
        <w:tc>
          <w:tcPr>
            <w:tcW w:w="2200" w:type="dxa"/>
            <w:shd w:val="clear" w:color="auto" w:fill="FFFFFF"/>
            <w:tcMar>
              <w:top w:w="70" w:type="dxa"/>
              <w:left w:w="90" w:type="dxa"/>
              <w:bottom w:w="70" w:type="dxa"/>
              <w:right w:w="90" w:type="dxa"/>
            </w:tcMar>
            <w:vAlign w:val="center"/>
          </w:tcPr>
          <w:p w14:paraId="700FD6DF"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Every commit to feature branches</w:t>
            </w:r>
          </w:p>
        </w:tc>
        <w:tc>
          <w:tcPr>
            <w:tcW w:w="2400" w:type="dxa"/>
            <w:shd w:val="clear" w:color="auto" w:fill="FFFFFF"/>
            <w:tcMar>
              <w:top w:w="70" w:type="dxa"/>
              <w:left w:w="90" w:type="dxa"/>
              <w:bottom w:w="70" w:type="dxa"/>
              <w:right w:w="90" w:type="dxa"/>
            </w:tcMar>
            <w:vAlign w:val="center"/>
          </w:tcPr>
          <w:p w14:paraId="2AB3168F"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Automatic</w:t>
            </w:r>
          </w:p>
        </w:tc>
        <w:tc>
          <w:tcPr>
            <w:tcW w:w="3460" w:type="dxa"/>
            <w:shd w:val="clear" w:color="auto" w:fill="FFFFFF"/>
            <w:tcMar>
              <w:top w:w="70" w:type="dxa"/>
              <w:left w:w="90" w:type="dxa"/>
              <w:bottom w:w="70" w:type="dxa"/>
              <w:right w:w="90" w:type="dxa"/>
            </w:tcMar>
            <w:vAlign w:val="center"/>
          </w:tcPr>
          <w:p w14:paraId="33753501"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Rapid feedback for developers; integration point for newly built microservices/mobile builds.</w:t>
            </w:r>
          </w:p>
        </w:tc>
      </w:tr>
      <w:tr w:rsidR="009F19BA" w:rsidRPr="004F581D" w14:paraId="02C4D661" w14:textId="77777777">
        <w:tblPrEx>
          <w:tblCellMar>
            <w:top w:w="0" w:type="dxa"/>
            <w:bottom w:w="0" w:type="dxa"/>
          </w:tblCellMar>
        </w:tblPrEx>
        <w:tc>
          <w:tcPr>
            <w:tcW w:w="1700" w:type="dxa"/>
            <w:shd w:val="clear" w:color="auto" w:fill="F2F2F2"/>
            <w:tcMar>
              <w:top w:w="70" w:type="dxa"/>
              <w:left w:w="90" w:type="dxa"/>
              <w:bottom w:w="70" w:type="dxa"/>
              <w:right w:w="90" w:type="dxa"/>
            </w:tcMar>
            <w:vAlign w:val="center"/>
          </w:tcPr>
          <w:p w14:paraId="5787D2F7"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Staging / UAT</w:t>
            </w:r>
          </w:p>
        </w:tc>
        <w:tc>
          <w:tcPr>
            <w:tcW w:w="2200" w:type="dxa"/>
            <w:shd w:val="clear" w:color="auto" w:fill="F2F2F2"/>
            <w:tcMar>
              <w:top w:w="70" w:type="dxa"/>
              <w:left w:w="90" w:type="dxa"/>
              <w:bottom w:w="70" w:type="dxa"/>
              <w:right w:w="90" w:type="dxa"/>
            </w:tcMar>
            <w:vAlign w:val="center"/>
          </w:tcPr>
          <w:p w14:paraId="10B53B21"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Merge to 'develop' / release branch</w:t>
            </w:r>
          </w:p>
        </w:tc>
        <w:tc>
          <w:tcPr>
            <w:tcW w:w="2400" w:type="dxa"/>
            <w:shd w:val="clear" w:color="auto" w:fill="F2F2F2"/>
            <w:tcMar>
              <w:top w:w="70" w:type="dxa"/>
              <w:left w:w="90" w:type="dxa"/>
              <w:bottom w:w="70" w:type="dxa"/>
              <w:right w:w="90" w:type="dxa"/>
            </w:tcMar>
            <w:vAlign w:val="center"/>
          </w:tcPr>
          <w:p w14:paraId="13AA1BF6"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Automatic, gated by passing tests</w:t>
            </w:r>
          </w:p>
        </w:tc>
        <w:tc>
          <w:tcPr>
            <w:tcW w:w="3460" w:type="dxa"/>
            <w:shd w:val="clear" w:color="auto" w:fill="F2F2F2"/>
            <w:tcMar>
              <w:top w:w="70" w:type="dxa"/>
              <w:left w:w="90" w:type="dxa"/>
              <w:bottom w:w="70" w:type="dxa"/>
              <w:right w:w="90" w:type="dxa"/>
            </w:tcMar>
            <w:vAlign w:val="center"/>
          </w:tcPr>
          <w:p w14:paraId="7FFF5DF7"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Mirrors production configuration; used for QA, UAT sign-off, accessibility testing with real elderly test users, and DAST security scans.</w:t>
            </w:r>
          </w:p>
        </w:tc>
      </w:tr>
      <w:tr w:rsidR="009F19BA" w:rsidRPr="004F581D" w14:paraId="54E5F448" w14:textId="77777777">
        <w:tblPrEx>
          <w:tblCellMar>
            <w:top w:w="0" w:type="dxa"/>
            <w:bottom w:w="0" w:type="dxa"/>
          </w:tblCellMar>
        </w:tblPrEx>
        <w:tc>
          <w:tcPr>
            <w:tcW w:w="1700" w:type="dxa"/>
            <w:shd w:val="clear" w:color="auto" w:fill="FFFFFF"/>
            <w:tcMar>
              <w:top w:w="70" w:type="dxa"/>
              <w:left w:w="90" w:type="dxa"/>
              <w:bottom w:w="70" w:type="dxa"/>
              <w:right w:w="90" w:type="dxa"/>
            </w:tcMar>
            <w:vAlign w:val="center"/>
          </w:tcPr>
          <w:p w14:paraId="5460EE46"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Production</w:t>
            </w:r>
          </w:p>
        </w:tc>
        <w:tc>
          <w:tcPr>
            <w:tcW w:w="2200" w:type="dxa"/>
            <w:shd w:val="clear" w:color="auto" w:fill="FFFFFF"/>
            <w:tcMar>
              <w:top w:w="70" w:type="dxa"/>
              <w:left w:w="90" w:type="dxa"/>
              <w:bottom w:w="70" w:type="dxa"/>
              <w:right w:w="90" w:type="dxa"/>
            </w:tcMar>
            <w:vAlign w:val="center"/>
          </w:tcPr>
          <w:p w14:paraId="25A1E5A0"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Merge to 'main' after manual approval</w:t>
            </w:r>
          </w:p>
        </w:tc>
        <w:tc>
          <w:tcPr>
            <w:tcW w:w="2400" w:type="dxa"/>
            <w:shd w:val="clear" w:color="auto" w:fill="FFFFFF"/>
            <w:tcMar>
              <w:top w:w="70" w:type="dxa"/>
              <w:left w:w="90" w:type="dxa"/>
              <w:bottom w:w="70" w:type="dxa"/>
              <w:right w:w="90" w:type="dxa"/>
            </w:tcMar>
            <w:vAlign w:val="center"/>
          </w:tcPr>
          <w:p w14:paraId="4EF2EEB6"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Blue-Green / Canary (manual approval gate)</w:t>
            </w:r>
          </w:p>
        </w:tc>
        <w:tc>
          <w:tcPr>
            <w:tcW w:w="3460" w:type="dxa"/>
            <w:shd w:val="clear" w:color="auto" w:fill="FFFFFF"/>
            <w:tcMar>
              <w:top w:w="70" w:type="dxa"/>
              <w:left w:w="90" w:type="dxa"/>
              <w:bottom w:w="70" w:type="dxa"/>
              <w:right w:w="90" w:type="dxa"/>
            </w:tcMar>
            <w:vAlign w:val="center"/>
          </w:tcPr>
          <w:p w14:paraId="58BC8FD0"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Live environment serving patients and caregivers; minimizes downtime and risk given the health-critical, always-on nature of dose reminders.</w:t>
            </w:r>
          </w:p>
        </w:tc>
      </w:tr>
    </w:tbl>
    <w:p w14:paraId="14D94035" w14:textId="77777777" w:rsidR="009F19BA" w:rsidRPr="004F581D" w:rsidRDefault="009F19BA" w:rsidP="004F581D">
      <w:pPr>
        <w:spacing w:after="120" w:line="360" w:lineRule="auto"/>
        <w:jc w:val="both"/>
        <w:rPr>
          <w:rFonts w:ascii="Times New Roman" w:hAnsi="Times New Roman" w:cs="Times New Roman"/>
          <w:color w:val="000000" w:themeColor="text1"/>
          <w:sz w:val="24"/>
          <w:szCs w:val="24"/>
        </w:rPr>
      </w:pPr>
    </w:p>
    <w:p w14:paraId="6D80E0C2" w14:textId="77777777" w:rsidR="009F19BA" w:rsidRPr="004F581D" w:rsidRDefault="00000000" w:rsidP="004F581D">
      <w:pPr>
        <w:spacing w:after="12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Production releases use a blue-green deployment: the new version is deployed alongside the existing live version, validated via automated health checks, and traffic is switched over only once confirmed healthy. For higher-risk changes (e.g., changes to the escalation-alert engine), a canary rollout gradually shifts a small percentage of traffic first, limiting the blast radius of any undetected defect.</w:t>
      </w:r>
    </w:p>
    <w:p w14:paraId="043B5277" w14:textId="77777777" w:rsidR="009F19BA" w:rsidRPr="004F581D" w:rsidRDefault="00000000" w:rsidP="004F581D">
      <w:pPr>
        <w:spacing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br w:type="page"/>
      </w:r>
    </w:p>
    <w:p w14:paraId="72D74691" w14:textId="77777777" w:rsidR="009F19BA" w:rsidRPr="004F581D" w:rsidRDefault="00000000" w:rsidP="004F581D">
      <w:pPr>
        <w:pStyle w:val="Heading1"/>
        <w:pBdr>
          <w:bottom w:val="single" w:sz="6" w:space="4" w:color="1F4E79"/>
        </w:pBdr>
        <w:spacing w:before="320" w:after="16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lastRenderedPageBreak/>
        <w:t>7. Security, Quality Checks, Notifications &amp; Rollback</w:t>
      </w:r>
    </w:p>
    <w:p w14:paraId="47BB1060" w14:textId="77777777" w:rsidR="009F19BA" w:rsidRPr="004F581D" w:rsidRDefault="00000000" w:rsidP="004F581D">
      <w:pPr>
        <w:pStyle w:val="Heading2"/>
        <w:spacing w:before="240" w:after="12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t>7.1 Security Checks</w:t>
      </w:r>
    </w:p>
    <w:p w14:paraId="6E701BB2" w14:textId="77777777" w:rsidR="009F19BA" w:rsidRPr="004F581D" w:rsidRDefault="00000000" w:rsidP="004F581D">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Secrets scanning (Gitleaks) blocks commits containing API keys or credentials.</w:t>
      </w:r>
    </w:p>
    <w:p w14:paraId="5DE38049" w14:textId="77777777" w:rsidR="009F19BA" w:rsidRPr="004F581D" w:rsidRDefault="00000000" w:rsidP="004F581D">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Dependency vulnerability scanning (OWASP Dependency-Check / Snyk) flags known CVEs in third-party libraries before build promotion.</w:t>
      </w:r>
    </w:p>
    <w:p w14:paraId="7BBD5DD6" w14:textId="77777777" w:rsidR="009F19BA" w:rsidRPr="004F581D" w:rsidRDefault="00000000" w:rsidP="004F581D">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Container image scanning (</w:t>
      </w:r>
      <w:proofErr w:type="spellStart"/>
      <w:r w:rsidRPr="004F581D">
        <w:rPr>
          <w:rFonts w:ascii="Times New Roman" w:hAnsi="Times New Roman" w:cs="Times New Roman"/>
          <w:color w:val="000000" w:themeColor="text1"/>
          <w:sz w:val="24"/>
          <w:szCs w:val="24"/>
        </w:rPr>
        <w:t>Trivy</w:t>
      </w:r>
      <w:proofErr w:type="spellEnd"/>
      <w:r w:rsidRPr="004F581D">
        <w:rPr>
          <w:rFonts w:ascii="Times New Roman" w:hAnsi="Times New Roman" w:cs="Times New Roman"/>
          <w:color w:val="000000" w:themeColor="text1"/>
          <w:sz w:val="24"/>
          <w:szCs w:val="24"/>
        </w:rPr>
        <w:t>) inspects Docker images for OS-level vulnerabilities prior to registry push.</w:t>
      </w:r>
    </w:p>
    <w:p w14:paraId="2AC5DB78" w14:textId="77777777" w:rsidR="009F19BA" w:rsidRPr="004F581D" w:rsidRDefault="00000000" w:rsidP="004F581D">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 xml:space="preserve">Secrets/credentials are injected at runtime from </w:t>
      </w:r>
      <w:proofErr w:type="spellStart"/>
      <w:r w:rsidRPr="004F581D">
        <w:rPr>
          <w:rFonts w:ascii="Times New Roman" w:hAnsi="Times New Roman" w:cs="Times New Roman"/>
          <w:color w:val="000000" w:themeColor="text1"/>
          <w:sz w:val="24"/>
          <w:szCs w:val="24"/>
        </w:rPr>
        <w:t>HashiCorp</w:t>
      </w:r>
      <w:proofErr w:type="spellEnd"/>
      <w:r w:rsidRPr="004F581D">
        <w:rPr>
          <w:rFonts w:ascii="Times New Roman" w:hAnsi="Times New Roman" w:cs="Times New Roman"/>
          <w:color w:val="000000" w:themeColor="text1"/>
          <w:sz w:val="24"/>
          <w:szCs w:val="24"/>
        </w:rPr>
        <w:t xml:space="preserve"> Vault / AWS Secrets Manager — never stored in source control or plain configuration files.</w:t>
      </w:r>
    </w:p>
    <w:p w14:paraId="038166D6" w14:textId="77777777" w:rsidR="009F19BA" w:rsidRPr="004F581D" w:rsidRDefault="00000000" w:rsidP="004F581D">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All data in transit uses TLS 1.2+, aligning with the system's NFR4 encryption requirement.</w:t>
      </w:r>
    </w:p>
    <w:p w14:paraId="1652C3DC" w14:textId="77777777" w:rsidR="009F19BA" w:rsidRPr="004F581D" w:rsidRDefault="00000000" w:rsidP="004F581D">
      <w:pPr>
        <w:pStyle w:val="Heading2"/>
        <w:spacing w:before="240" w:after="12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t>7.2 Quality Gates</w:t>
      </w:r>
    </w:p>
    <w:p w14:paraId="00309788" w14:textId="77777777" w:rsidR="009F19BA" w:rsidRPr="004F581D" w:rsidRDefault="00000000" w:rsidP="004F581D">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SonarQube quality gate enforces a minimum code-coverage percentage and zero critical/blocker issues before a Pull Request can be merged.</w:t>
      </w:r>
    </w:p>
    <w:p w14:paraId="6331F041" w14:textId="77777777" w:rsidR="009F19BA" w:rsidRPr="004F581D" w:rsidRDefault="00000000" w:rsidP="004F581D">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Linting (</w:t>
      </w:r>
      <w:proofErr w:type="spellStart"/>
      <w:r w:rsidRPr="004F581D">
        <w:rPr>
          <w:rFonts w:ascii="Times New Roman" w:hAnsi="Times New Roman" w:cs="Times New Roman"/>
          <w:color w:val="000000" w:themeColor="text1"/>
          <w:sz w:val="24"/>
          <w:szCs w:val="24"/>
        </w:rPr>
        <w:t>ESLint</w:t>
      </w:r>
      <w:proofErr w:type="spellEnd"/>
      <w:r w:rsidRPr="004F581D">
        <w:rPr>
          <w:rFonts w:ascii="Times New Roman" w:hAnsi="Times New Roman" w:cs="Times New Roman"/>
          <w:color w:val="000000" w:themeColor="text1"/>
          <w:sz w:val="24"/>
          <w:szCs w:val="24"/>
        </w:rPr>
        <w:t>/</w:t>
      </w:r>
      <w:proofErr w:type="spellStart"/>
      <w:r w:rsidRPr="004F581D">
        <w:rPr>
          <w:rFonts w:ascii="Times New Roman" w:hAnsi="Times New Roman" w:cs="Times New Roman"/>
          <w:color w:val="000000" w:themeColor="text1"/>
          <w:sz w:val="24"/>
          <w:szCs w:val="24"/>
        </w:rPr>
        <w:t>Checkstyle</w:t>
      </w:r>
      <w:proofErr w:type="spellEnd"/>
      <w:r w:rsidRPr="004F581D">
        <w:rPr>
          <w:rFonts w:ascii="Times New Roman" w:hAnsi="Times New Roman" w:cs="Times New Roman"/>
          <w:color w:val="000000" w:themeColor="text1"/>
          <w:sz w:val="24"/>
          <w:szCs w:val="24"/>
        </w:rPr>
        <w:t>) enforces consistent coding standards across contributors.</w:t>
      </w:r>
    </w:p>
    <w:p w14:paraId="0DDAE222" w14:textId="77777777" w:rsidR="009F19BA" w:rsidRPr="004F581D" w:rsidRDefault="00000000" w:rsidP="004F581D">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A Pull Request requires at least one peer code review approval in addition to passing automated checks.</w:t>
      </w:r>
    </w:p>
    <w:p w14:paraId="2121DF29" w14:textId="77777777" w:rsidR="009F19BA" w:rsidRPr="004F581D" w:rsidRDefault="00000000" w:rsidP="004F581D">
      <w:pPr>
        <w:pStyle w:val="Heading2"/>
        <w:spacing w:before="240" w:after="12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t>7.3 Notifications</w:t>
      </w:r>
    </w:p>
    <w:p w14:paraId="2B7AF333" w14:textId="77777777" w:rsidR="009F19BA" w:rsidRPr="004F581D" w:rsidRDefault="00000000" w:rsidP="004F581D">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Pipeline status (success/failure) is posted automatically to a dedicated Slack/Teams channel for the engineering team.</w:t>
      </w:r>
    </w:p>
    <w:p w14:paraId="26D0B40F" w14:textId="77777777" w:rsidR="009F19BA" w:rsidRPr="004F581D" w:rsidRDefault="00000000" w:rsidP="004F581D">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On pipeline failure, an email alert is sent to the responsible developer and the release manager, including a link to the failing build logs.</w:t>
      </w:r>
    </w:p>
    <w:p w14:paraId="2F9876B2" w14:textId="77777777" w:rsidR="009F19BA" w:rsidRPr="004F581D" w:rsidRDefault="00000000" w:rsidP="004F581D">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Post-deployment health-check failures trigger an immediate on-call notification (e.g., PagerDuty/Slack) so issues affecting live patients are addressed without delay.</w:t>
      </w:r>
    </w:p>
    <w:p w14:paraId="070E5CF0" w14:textId="77777777" w:rsidR="009F19BA" w:rsidRPr="004F581D" w:rsidRDefault="00000000" w:rsidP="004F581D">
      <w:pPr>
        <w:pStyle w:val="Heading2"/>
        <w:spacing w:before="240" w:after="12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t>7.4 Rollback Mechanisms</w:t>
      </w:r>
    </w:p>
    <w:p w14:paraId="4D102799" w14:textId="77777777" w:rsidR="009F19BA" w:rsidRPr="004F581D" w:rsidRDefault="00000000" w:rsidP="004F581D">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Kubernetes/Helm rollout history allows an automatic or one-command rollback (`helm rollback`) to the last stable release if post-deployment health checks fail.</w:t>
      </w:r>
    </w:p>
    <w:p w14:paraId="7FCBEC33" w14:textId="77777777" w:rsidR="009F19BA" w:rsidRPr="004F581D" w:rsidRDefault="00000000" w:rsidP="004F581D">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Blue-green deployment enables an instant traffic switch back to the previous (still-running) environment with no redeployment delay.</w:t>
      </w:r>
    </w:p>
    <w:p w14:paraId="4D3155A4" w14:textId="77777777" w:rsidR="009F19BA" w:rsidRPr="004F581D" w:rsidRDefault="00000000" w:rsidP="004F581D">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lastRenderedPageBreak/>
        <w:t>Database schema changes use versioned, reversible migration scripts so a code rollback can be paired with a safe data-layer rollback.</w:t>
      </w:r>
    </w:p>
    <w:p w14:paraId="78AF4AD1" w14:textId="77777777" w:rsidR="009F19BA" w:rsidRPr="004F581D" w:rsidRDefault="00000000" w:rsidP="004F581D">
      <w:pPr>
        <w:pStyle w:val="ListParagraph"/>
        <w:numPr>
          <w:ilvl w:val="0"/>
          <w:numId w:val="2"/>
        </w:numPr>
        <w:spacing w:after="6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color w:val="000000" w:themeColor="text1"/>
          <w:sz w:val="24"/>
          <w:szCs w:val="24"/>
        </w:rPr>
        <w:t>All rollback events automatically trigger the same notification workflow described in Section 7.3, ensuring the team is immediately aware.</w:t>
      </w:r>
    </w:p>
    <w:p w14:paraId="77D636BF" w14:textId="77777777" w:rsidR="009F19BA" w:rsidRPr="004F581D" w:rsidRDefault="00000000" w:rsidP="004F581D">
      <w:pPr>
        <w:pStyle w:val="Heading1"/>
        <w:pBdr>
          <w:bottom w:val="single" w:sz="6" w:space="4" w:color="1F4E79"/>
        </w:pBdr>
        <w:spacing w:before="320" w:after="160" w:line="360" w:lineRule="auto"/>
        <w:jc w:val="both"/>
        <w:rPr>
          <w:rFonts w:ascii="Times New Roman" w:hAnsi="Times New Roman" w:cs="Times New Roman"/>
          <w:color w:val="000000" w:themeColor="text1"/>
          <w:sz w:val="24"/>
          <w:szCs w:val="24"/>
        </w:rPr>
      </w:pPr>
      <w:r w:rsidRPr="004F581D">
        <w:rPr>
          <w:rFonts w:ascii="Times New Roman" w:hAnsi="Times New Roman" w:cs="Times New Roman"/>
          <w:b/>
          <w:bCs/>
          <w:color w:val="000000" w:themeColor="text1"/>
          <w:sz w:val="24"/>
          <w:szCs w:val="24"/>
        </w:rPr>
        <w:t>8. Conclusion</w:t>
      </w:r>
    </w:p>
    <w:p w14:paraId="6FFF4348" w14:textId="77777777" w:rsidR="009F19BA" w:rsidRDefault="00000000" w:rsidP="004F581D">
      <w:pPr>
        <w:spacing w:after="120" w:line="360" w:lineRule="auto"/>
        <w:jc w:val="both"/>
      </w:pPr>
      <w:r w:rsidRPr="004F581D">
        <w:rPr>
          <w:rFonts w:ascii="Times New Roman" w:hAnsi="Times New Roman" w:cs="Times New Roman"/>
          <w:color w:val="000000" w:themeColor="text1"/>
          <w:sz w:val="24"/>
          <w:szCs w:val="24"/>
        </w:rPr>
        <w:t>This CI/CD pipeline automates the journey from code commit to production deployment for the Medication Adherence Tracker, embedding automated testing, security scanning, and quality gates at every stage. The blue-green/canary deployment strategy and automated rollback mechanisms ensure that the health-critical reminder and escalation features remain reliable and available, while Slack/email notifications keep the engineering team informed in near real time — enabling frequent, safe releases without comprom</w:t>
      </w:r>
      <w:r>
        <w:t>ising patient safety or data security.</w:t>
      </w:r>
    </w:p>
    <w:sectPr w:rsidR="009F19B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C140E"/>
    <w:multiLevelType w:val="hybridMultilevel"/>
    <w:tmpl w:val="2CE22B66"/>
    <w:lvl w:ilvl="0" w:tplc="42EE250C">
      <w:start w:val="1"/>
      <w:numFmt w:val="bullet"/>
      <w:lvlText w:val="•"/>
      <w:lvlJc w:val="left"/>
      <w:pPr>
        <w:ind w:left="420" w:hanging="260"/>
      </w:pPr>
    </w:lvl>
    <w:lvl w:ilvl="1" w:tplc="8110B5B4">
      <w:numFmt w:val="decimal"/>
      <w:lvlText w:val=""/>
      <w:lvlJc w:val="left"/>
    </w:lvl>
    <w:lvl w:ilvl="2" w:tplc="66704F26">
      <w:numFmt w:val="decimal"/>
      <w:lvlText w:val=""/>
      <w:lvlJc w:val="left"/>
    </w:lvl>
    <w:lvl w:ilvl="3" w:tplc="D5E08CBE">
      <w:numFmt w:val="decimal"/>
      <w:lvlText w:val=""/>
      <w:lvlJc w:val="left"/>
    </w:lvl>
    <w:lvl w:ilvl="4" w:tplc="EE70DACE">
      <w:numFmt w:val="decimal"/>
      <w:lvlText w:val=""/>
      <w:lvlJc w:val="left"/>
    </w:lvl>
    <w:lvl w:ilvl="5" w:tplc="910031C6">
      <w:numFmt w:val="decimal"/>
      <w:lvlText w:val=""/>
      <w:lvlJc w:val="left"/>
    </w:lvl>
    <w:lvl w:ilvl="6" w:tplc="CE4E39FA">
      <w:numFmt w:val="decimal"/>
      <w:lvlText w:val=""/>
      <w:lvlJc w:val="left"/>
    </w:lvl>
    <w:lvl w:ilvl="7" w:tplc="9BCC8D84">
      <w:numFmt w:val="decimal"/>
      <w:lvlText w:val=""/>
      <w:lvlJc w:val="left"/>
    </w:lvl>
    <w:lvl w:ilvl="8" w:tplc="692ADF02">
      <w:numFmt w:val="decimal"/>
      <w:lvlText w:val=""/>
      <w:lvlJc w:val="left"/>
    </w:lvl>
  </w:abstractNum>
  <w:abstractNum w:abstractNumId="1" w15:restartNumberingAfterBreak="0">
    <w:nsid w:val="7AF31968"/>
    <w:multiLevelType w:val="hybridMultilevel"/>
    <w:tmpl w:val="DD00C9A8"/>
    <w:lvl w:ilvl="0" w:tplc="E2C07A18">
      <w:start w:val="1"/>
      <w:numFmt w:val="bullet"/>
      <w:lvlText w:val="●"/>
      <w:lvlJc w:val="left"/>
      <w:pPr>
        <w:ind w:left="720" w:hanging="360"/>
      </w:pPr>
    </w:lvl>
    <w:lvl w:ilvl="1" w:tplc="8940EA0E">
      <w:start w:val="1"/>
      <w:numFmt w:val="bullet"/>
      <w:lvlText w:val="○"/>
      <w:lvlJc w:val="left"/>
      <w:pPr>
        <w:ind w:left="1440" w:hanging="360"/>
      </w:pPr>
    </w:lvl>
    <w:lvl w:ilvl="2" w:tplc="B1E2B0EC">
      <w:start w:val="1"/>
      <w:numFmt w:val="bullet"/>
      <w:lvlText w:val="■"/>
      <w:lvlJc w:val="left"/>
      <w:pPr>
        <w:ind w:left="2160" w:hanging="360"/>
      </w:pPr>
    </w:lvl>
    <w:lvl w:ilvl="3" w:tplc="CADAA00C">
      <w:start w:val="1"/>
      <w:numFmt w:val="bullet"/>
      <w:lvlText w:val="●"/>
      <w:lvlJc w:val="left"/>
      <w:pPr>
        <w:ind w:left="2880" w:hanging="360"/>
      </w:pPr>
    </w:lvl>
    <w:lvl w:ilvl="4" w:tplc="772657F0">
      <w:start w:val="1"/>
      <w:numFmt w:val="bullet"/>
      <w:lvlText w:val="○"/>
      <w:lvlJc w:val="left"/>
      <w:pPr>
        <w:ind w:left="3600" w:hanging="360"/>
      </w:pPr>
    </w:lvl>
    <w:lvl w:ilvl="5" w:tplc="289C7636">
      <w:start w:val="1"/>
      <w:numFmt w:val="bullet"/>
      <w:lvlText w:val="■"/>
      <w:lvlJc w:val="left"/>
      <w:pPr>
        <w:ind w:left="4320" w:hanging="360"/>
      </w:pPr>
    </w:lvl>
    <w:lvl w:ilvl="6" w:tplc="89AAA77A">
      <w:start w:val="1"/>
      <w:numFmt w:val="bullet"/>
      <w:lvlText w:val="●"/>
      <w:lvlJc w:val="left"/>
      <w:pPr>
        <w:ind w:left="5040" w:hanging="360"/>
      </w:pPr>
    </w:lvl>
    <w:lvl w:ilvl="7" w:tplc="9CE81CA0">
      <w:start w:val="1"/>
      <w:numFmt w:val="bullet"/>
      <w:lvlText w:val="●"/>
      <w:lvlJc w:val="left"/>
      <w:pPr>
        <w:ind w:left="5760" w:hanging="360"/>
      </w:pPr>
    </w:lvl>
    <w:lvl w:ilvl="8" w:tplc="68E49378">
      <w:start w:val="1"/>
      <w:numFmt w:val="bullet"/>
      <w:lvlText w:val="●"/>
      <w:lvlJc w:val="left"/>
      <w:pPr>
        <w:ind w:left="6480" w:hanging="360"/>
      </w:pPr>
    </w:lvl>
  </w:abstractNum>
  <w:num w:numId="1" w16cid:durableId="1155104015">
    <w:abstractNumId w:val="1"/>
    <w:lvlOverride w:ilvl="0">
      <w:startOverride w:val="1"/>
    </w:lvlOverride>
  </w:num>
  <w:num w:numId="2" w16cid:durableId="9447308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9BA"/>
    <w:rsid w:val="004F581D"/>
    <w:rsid w:val="00684276"/>
    <w:rsid w:val="009F19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DE202"/>
  <w15:docId w15:val="{307241C7-E177-40B8-A59E-5C7B821A0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1875</Words>
  <Characters>10688</Characters>
  <Application>Microsoft Office Word</Application>
  <DocSecurity>0</DocSecurity>
  <Lines>89</Lines>
  <Paragraphs>25</Paragraphs>
  <ScaleCrop>false</ScaleCrop>
  <Company/>
  <LinksUpToDate>false</LinksUpToDate>
  <CharactersWithSpaces>12538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dumbo6295@gmail.com</cp:lastModifiedBy>
  <cp:revision>2</cp:revision>
  <dcterms:created xsi:type="dcterms:W3CDTF">2026-08-31T08:39:00Z</dcterms:created>
  <dcterms:modified xsi:type="dcterms:W3CDTF">2026-08-31T08:39:00Z</dcterms:modified>
</cp:coreProperties>
</file>