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00" w:before="300"/>
        <w:jc w:val="center"/>
      </w:pPr>
      <w:r>
        <w:rPr>
          <w:rFonts w:ascii="Calibri" w:cs="Calibri" w:eastAsia="Calibri" w:hAnsi="Calibri"/>
          <w:b/>
          <w:bCs/>
          <w:color w:val="2563EB"/>
          <w:spacing w:val="20"/>
          <w:sz w:val="22"/>
          <w:szCs w:val="22"/>
        </w:rPr>
        <w:t xml:space="preserve">PREPARED FOR CHARTERED ACCOUNTANT REVIEW</w:t>
      </w:r>
    </w:p>
    <w:p>
      <w:pPr>
        <w:spacing w:after="100" w:before="100"/>
        <w:jc w:val="center"/>
      </w:pPr>
      <w:r>
        <w:rPr>
          <w:rFonts w:ascii="Calibri" w:cs="Calibri" w:eastAsia="Calibri" w:hAnsi="Calibri"/>
          <w:b/>
          <w:bCs/>
          <w:color w:val="111827"/>
          <w:sz w:val="40"/>
          <w:szCs w:val="40"/>
        </w:rPr>
        <w:t xml:space="preserve">CA Compliance Test Case Pack</w:t>
      </w:r>
    </w:p>
    <w:p>
      <w:pPr>
        <w:spacing w:after="400" w:before="0"/>
        <w:jc w:val="center"/>
      </w:pPr>
      <w:r>
        <w:rPr>
          <w:rFonts w:ascii="Calibri" w:cs="Calibri" w:eastAsia="Calibri" w:hAnsi="Calibri"/>
          <w:color w:val="6B7280"/>
          <w:sz w:val="24"/>
          <w:szCs w:val="24"/>
        </w:rPr>
        <w:t xml:space="preserve">GST &amp; Payroll Engine — Verification Summary and Sign-off Checklist</w:t>
      </w:r>
    </w:p>
    <w:p>
      <w:pPr>
        <w:spacing w:after="60"/>
        <w:jc w:val="center"/>
      </w:pPr>
      <w:r>
        <w:rPr>
          <w:rFonts w:ascii="Calibri" w:cs="Calibri" w:eastAsia="Calibri" w:hAnsi="Calibri"/>
          <w:b/>
          <w:bCs/>
          <w:color w:val="6B7280"/>
          <w:sz w:val="20"/>
          <w:szCs w:val="20"/>
        </w:rPr>
        <w:t xml:space="preserve">Product: </w:t>
      </w:r>
      <w:r>
        <w:rPr>
          <w:rFonts w:ascii="Calibri" w:cs="Calibri" w:eastAsia="Calibri" w:hAnsi="Calibri"/>
          <w:color w:val="111827"/>
          <w:sz w:val="20"/>
          <w:szCs w:val="20"/>
        </w:rPr>
        <w:t xml:space="preserve">MHTS ERP — Business Accounting, GST, Inventory &amp; Payroll</w:t>
      </w:r>
    </w:p>
    <w:p>
      <w:pPr>
        <w:spacing w:after="60"/>
        <w:jc w:val="center"/>
      </w:pPr>
      <w:r>
        <w:rPr>
          <w:rFonts w:ascii="Calibri" w:cs="Calibri" w:eastAsia="Calibri" w:hAnsi="Calibri"/>
          <w:b/>
          <w:bCs/>
          <w:color w:val="6B7280"/>
          <w:sz w:val="20"/>
          <w:szCs w:val="20"/>
        </w:rPr>
        <w:t xml:space="preserve">Phase: </w:t>
      </w:r>
      <w:r>
        <w:rPr>
          <w:rFonts w:ascii="Calibri" w:cs="Calibri" w:eastAsia="Calibri" w:hAnsi="Calibri"/>
          <w:color w:val="111827"/>
          <w:sz w:val="20"/>
          <w:szCs w:val="20"/>
        </w:rPr>
        <w:t xml:space="preserve">11 — UAT, Security &amp; Compliance Sign-off</w:t>
      </w:r>
    </w:p>
    <w:p>
      <w:pPr>
        <w:spacing w:after="60"/>
        <w:jc w:val="center"/>
      </w:pPr>
      <w:r>
        <w:rPr>
          <w:rFonts w:ascii="Calibri" w:cs="Calibri" w:eastAsia="Calibri" w:hAnsi="Calibri"/>
          <w:b/>
          <w:bCs/>
          <w:color w:val="6B7280"/>
          <w:sz w:val="20"/>
          <w:szCs w:val="20"/>
        </w:rPr>
        <w:t xml:space="preserve">Version reviewed: </w:t>
      </w:r>
      <w:r>
        <w:rPr>
          <w:rFonts w:ascii="Calibri" w:cs="Calibri" w:eastAsia="Calibri" w:hAnsi="Calibri"/>
          <w:color w:val="111827"/>
          <w:sz w:val="20"/>
          <w:szCs w:val="20"/>
        </w:rPr>
        <w:t xml:space="preserve">branch phase11/uat-security-compliance-and-test-harness</w:t>
      </w:r>
    </w:p>
    <w:p>
      <w:pPr>
        <w:spacing w:after="60"/>
        <w:jc w:val="center"/>
      </w:pPr>
      <w:r>
        <w:rPr>
          <w:rFonts w:ascii="Calibri" w:cs="Calibri" w:eastAsia="Calibri" w:hAnsi="Calibri"/>
          <w:b/>
          <w:bCs/>
          <w:color w:val="6B7280"/>
          <w:sz w:val="20"/>
          <w:szCs w:val="20"/>
        </w:rPr>
        <w:t xml:space="preserve">Date prepared: </w:t>
      </w:r>
      <w:r>
        <w:rPr>
          <w:rFonts w:ascii="Calibri" w:cs="Calibri" w:eastAsia="Calibri" w:hAnsi="Calibri"/>
          <w:color w:val="111827"/>
          <w:sz w:val="20"/>
          <w:szCs w:val="20"/>
        </w:rPr>
        <w:t xml:space="preserve">2026-09-08</w:t>
      </w:r>
    </w:p>
    <w:p>
      <w:pPr>
        <w:spacing w:after="60"/>
        <w:jc w:val="center"/>
      </w:pPr>
      <w:r>
        <w:rPr>
          <w:rFonts w:ascii="Calibri" w:cs="Calibri" w:eastAsia="Calibri" w:hAnsi="Calibri"/>
          <w:b/>
          <w:bCs/>
          <w:color w:val="6B7280"/>
          <w:sz w:val="20"/>
          <w:szCs w:val="20"/>
        </w:rPr>
        <w:t xml:space="preserve">Prepared by: </w:t>
      </w:r>
      <w:r>
        <w:rPr>
          <w:rFonts w:ascii="Calibri" w:cs="Calibri" w:eastAsia="Calibri" w:hAnsi="Calibri"/>
          <w:color w:val="111827"/>
          <w:sz w:val="20"/>
          <w:szCs w:val="20"/>
        </w:rPr>
        <w:t xml:space="preserve">MHTSdigiXR engineering team</w:t>
      </w:r>
    </w:p>
    <w:p>
      <w:pPr>
        <w:spacing w:before="500"/>
        <w:jc w:val="center"/>
      </w:pPr>
      <w:r>
        <w:rPr>
          <w:rFonts w:ascii="Calibri" w:cs="Calibri" w:eastAsia="Calibri" w:hAnsi="Calibri"/>
          <w:i/>
          <w:iCs/>
          <w:color w:val="2563EB"/>
          <w:sz w:val="18"/>
          <w:szCs w:val="18"/>
        </w:rPr>
        <w:t xml:space="preserve">Voice Your Vision. Scale Your Impact.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1. Purpose of This Document</w:t>
      </w:r>
    </w:p>
    <w:p>
      <w:pPr>
        <w:spacing w:after="140"/>
      </w:pPr>
      <w:r>
        <w:rPr>
          <w:rFonts w:ascii="Calibri" w:cs="Calibri" w:eastAsia="Calibri" w:hAnsi="Calibri"/>
          <w:color w:val="111827"/>
          <w:sz w:val="21"/>
          <w:szCs w:val="21"/>
        </w:rPr>
        <w:t xml:space="preserve">This pack exists to give you, as our Chartered Accountant, a concrete and checkable account of what the GST and payroll engines inside MHTS ERP actually compute, exactly how each figure was verified before today, and every known simplification the current build makes — so you can confirm what is acceptable for real client use and flag what needs to change before this software is relied on for an actual filing.</w:t>
      </w:r>
    </w:p>
    <w:p>
      <w:pPr>
        <w:spacing w:after="140"/>
      </w:pPr>
      <w:r>
        <w:rPr>
          <w:rFonts w:ascii="Calibri" w:cs="Calibri" w:eastAsia="Calibri" w:hAnsi="Calibri"/>
          <w:color w:val="111827"/>
          <w:sz w:val="21"/>
          <w:szCs w:val="21"/>
        </w:rPr>
        <w:t xml:space="preserve">This document does not replace your professional review. It is the starting point for it. Please read Sections 2–4 with normal professional skepticism, use the Demo Mode company (Section 5) to see live computed figures yourself rather than take any number here on faith, and use Section 6 to record your findings and sign off.</w:t>
      </w: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Please read first</w:t>
            </w:r>
          </w:p>
          <w:p>
            <w:r>
              <w:rPr>
                <w:rFonts w:ascii="Calibri" w:cs="Calibri" w:eastAsia="Calibri" w:hAnsi="Calibri"/>
                <w:color w:val="111827"/>
                <w:sz w:val="20"/>
                <w:szCs w:val="20"/>
              </w:rPr>
              <w:t xml:space="preserve">Section 1.1 records two items our internal review found and fixed before this pack reached you. Section 1.2 lists the items that still need YOUR judgement. Please look at 1.2 before anything else.</w:t>
            </w:r>
          </w:p>
        </w:tc>
      </w:tr>
    </w:tbl>
    <w:p>
      <w:pPr>
        <w:pStyle w:val="Heading2"/>
        <w:spacing w:after="120" w:before="260"/>
      </w:pPr>
      <w:r>
        <w:rPr>
          <w:rFonts w:ascii="Calibri" w:cs="Calibri" w:eastAsia="Calibri" w:hAnsi="Calibri"/>
          <w:b/>
          <w:bCs/>
          <w:color w:val="111827"/>
          <w:sz w:val="24"/>
          <w:szCs w:val="24"/>
        </w:rPr>
        <w:t xml:space="preserve">1.1 Items Found and Already Fixed in This Build</w:t>
      </w:r>
    </w:p>
    <w:p>
      <w:pPr>
        <w:spacing w:after="140"/>
      </w:pPr>
      <w:r>
        <w:rPr>
          <w:rFonts w:ascii="Calibri" w:cs="Calibri" w:eastAsia="Calibri" w:hAnsi="Calibri"/>
          <w:color w:val="111827"/>
          <w:sz w:val="21"/>
          <w:szCs w:val="21"/>
        </w:rPr>
        <w:t xml:space="preserve">An internal adversarial review (a simulated CA-persona code read, performed as extra due diligence before this pack reached you) found two real formula gaps — not just disclosed simplifications, but places where the code computed a wrong number. Both were fixed and covered with new automated regression tests before this pack was finalized:</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3610"/>
        <w:gridCol w:w="5416"/>
      </w:tblGrid>
      <w:tr>
        <w:trPr>
          <w:tblHeader/>
        </w:trPr>
        <w:tc>
          <w:tcPr>
            <w:tcW w:type="dxa" w:w="3610"/>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5416"/>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was wrong, and the fix</w:t>
            </w:r>
          </w:p>
        </w:tc>
      </w:tr>
      <w:tr>
        <w:tc>
          <w:tcPr>
            <w:tcW w:type="dxa" w:w="3610"/>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ESI contribution-period continuity</w:t>
            </w:r>
          </w:p>
        </w:tc>
        <w:tc>
          <w:tcPr>
            <w:tcW w:type="dxa" w:w="5416"/>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ESI applicability was being re-evaluated every payroll run instead of honoring the law's 6-month contribution-period rule (once covered, an employee stays covered for the rest of the period even if a mid-period raise crosses the wage ceiling). Fixed: the payroll engine now checks whether ESI applied earlier in the same Apr–Sep/Oct–Mar period and, if so, keeps the employee covered (uncapped) for the rest of it.</w:t>
            </w:r>
          </w:p>
        </w:tc>
      </w:tr>
      <w:tr>
        <w:tc>
          <w:tcPr>
            <w:tcW w:type="dxa" w:w="3610"/>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Section 87A marginal relief</w:t>
            </w:r>
          </w:p>
        </w:tc>
        <w:tc>
          <w:tcPr>
            <w:tcW w:type="dxa" w:w="5416"/>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rebate was a hard cliff at ₹12,00,000 net taxable income — a rupee over the threshold jumped straight to full slab tax, with no marginal-relief smoothing. Fixed: tax for income just above the threshold is now capped at the amount by which income exceeds it, matching the statutory marginal-relief provision.</w:t>
            </w:r>
          </w:p>
        </w:tc>
      </w:tr>
    </w:tbl>
    <w:p>
      <w:pPr>
        <w:spacing w:after="120"/>
      </w:pPr>
    </w:p>
    <w:p>
      <w:pPr>
        <w:pStyle w:val="Heading2"/>
        <w:spacing w:after="120" w:before="260"/>
      </w:pPr>
      <w:r>
        <w:rPr>
          <w:rFonts w:ascii="Calibri" w:cs="Calibri" w:eastAsia="Calibri" w:hAnsi="Calibri"/>
          <w:b/>
          <w:bCs/>
          <w:color w:val="111827"/>
          <w:sz w:val="24"/>
          <w:szCs w:val="24"/>
        </w:rPr>
        <w:t xml:space="preserve">1.2 Items Still Needing Your Judgement Before Broad Reliance</w:t>
      </w:r>
    </w:p>
    <w:p>
      <w:pPr>
        <w:spacing w:after="140"/>
      </w:pPr>
      <w:r>
        <w:rPr>
          <w:rFonts w:ascii="Calibri" w:cs="Calibri" w:eastAsia="Calibri" w:hAnsi="Calibri"/>
          <w:color w:val="111827"/>
          <w:sz w:val="21"/>
          <w:szCs w:val="21"/>
        </w:rPr>
        <w:t xml:space="preserve">These remain open and need your input — either a ruling on which of two defensible behaviors is correct, or confirmation that a gap is acceptable for your client base:</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722"/>
        <w:gridCol w:w="5596"/>
        <w:gridCol w:w="2708"/>
      </w:tblGrid>
      <w:tr>
        <w:trPr>
          <w:tblHeader/>
        </w:trPr>
        <w:tc>
          <w:tcPr>
            <w:tcW w:type="dxa" w:w="72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5596"/>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2708"/>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we need from you</w:t>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1</w:t>
            </w:r>
          </w:p>
        </w:tc>
        <w:tc>
          <w:tcPr>
            <w:tcW w:type="dxa" w:w="5596"/>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GSTR-3B's net-payable calculation now EXCLUDES a self-assessed reverse-charge (RCM) purchase's input tax from the same period's set-off against output liability (the conservative reading, and what this document has always described) — but current practice in some cases allows claiming that credit in the same period once the RCM liability is paid in cash.</w:t>
            </w:r>
          </w:p>
        </w:tc>
        <w:tc>
          <w:tcPr>
            <w:tcW w:type="dxa" w:w="2708"/>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Confirm whether the conservative exclusion is correct for your client base, or whether the app should instead let RCM credit into the same-period set-off once paid.</w:t>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2</w:t>
            </w:r>
          </w:p>
        </w:tc>
        <w:tc>
          <w:tcPr>
            <w:tcW w:type="dxa" w:w="5596"/>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TDS (Section 51) and GST TCS (Section 52) are not modeled at all — only Income-tax vendor TDS (194 series) exists.</w:t>
            </w:r>
          </w:p>
        </w:tc>
        <w:tc>
          <w:tcPr>
            <w:tcW w:type="dxa" w:w="2708"/>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Confirm whether any client supplies to government/PSU bodies or sells via an e-commerce marketplace as a TCS-collected vendor; if so, that activity needs to be tracked outside the app entirely today.</w:t>
            </w:r>
          </w:p>
        </w:tc>
      </w:tr>
    </w:tbl>
    <w:p>
      <w:pPr>
        <w:spacing w:after="120"/>
      </w:pPr>
    </w:p>
    <w:p>
      <w:pPr>
        <w:pStyle w:val="Heading1"/>
        <w:pBdr>
          <w:bottom w:val="single" w:color="2563EB" w:sz="4" w:space="4"/>
        </w:pBdr>
        <w:spacing w:after="160" w:before="360"/>
      </w:pPr>
      <w:r>
        <w:rPr>
          <w:rFonts w:ascii="Calibri" w:cs="Calibri" w:eastAsia="Calibri" w:hAnsi="Calibri"/>
          <w:b/>
          <w:bCs/>
          <w:color w:val="2563EB"/>
          <w:sz w:val="30"/>
          <w:szCs w:val="30"/>
        </w:rPr>
        <w:t xml:space="preserve">2. GST Engine</w:t>
      </w:r>
    </w:p>
    <w:p>
      <w:pPr>
        <w:pStyle w:val="Heading2"/>
        <w:spacing w:after="120" w:before="260"/>
      </w:pPr>
      <w:r>
        <w:rPr>
          <w:rFonts w:ascii="Calibri" w:cs="Calibri" w:eastAsia="Calibri" w:hAnsi="Calibri"/>
          <w:b/>
          <w:bCs/>
          <w:color w:val="111827"/>
          <w:sz w:val="24"/>
          <w:szCs w:val="24"/>
        </w:rPr>
        <w:t xml:space="preserve">2.1 What It Computes</w:t>
      </w:r>
    </w:p>
    <w:p>
      <w:pPr>
        <w:pStyle w:val="ListParagraph"/>
        <w:numPr>
          <w:ilvl w:val="0"/>
          <w:numId w:val="1"/>
        </w:numPr>
        <w:spacing w:after="80"/>
      </w:pPr>
      <w:r>
        <w:rPr>
          <w:rFonts w:ascii="Calibri" w:cs="Calibri" w:eastAsia="Calibri" w:hAnsi="Calibri"/>
          <w:color w:val="111827"/>
          <w:sz w:val="21"/>
          <w:szCs w:val="21"/>
        </w:rPr>
        <w:t xml:space="preserve">Rate resolution (core-gst-engine/gstRates.ts): HSN/SAC → GST rate, versioned and date-effective. A rate change is a new dated database row, never a code change; an old invoice keeps resolving to whatever rate was actually in force on its own date.</w:t>
      </w:r>
    </w:p>
    <w:p>
      <w:pPr>
        <w:pStyle w:val="ListParagraph"/>
        <w:numPr>
          <w:ilvl w:val="0"/>
          <w:numId w:val="1"/>
        </w:numPr>
        <w:spacing w:after="80"/>
      </w:pPr>
      <w:r>
        <w:rPr>
          <w:rFonts w:ascii="Calibri" w:cs="Calibri" w:eastAsia="Calibri" w:hAnsi="Calibri"/>
          <w:color w:val="111827"/>
          <w:sz w:val="21"/>
          <w:szCs w:val="21"/>
        </w:rPr>
        <w:t xml:space="preserve">Place-of-supply split (gstSplit.ts): same state → CGST+SGST 50/50; different state → full rate as IGST. Cess always applies as its own line.</w:t>
      </w:r>
    </w:p>
    <w:p>
      <w:pPr>
        <w:pStyle w:val="ListParagraph"/>
        <w:numPr>
          <w:ilvl w:val="0"/>
          <w:numId w:val="1"/>
        </w:numPr>
        <w:spacing w:after="80"/>
      </w:pPr>
      <w:r>
        <w:rPr>
          <w:rFonts w:ascii="Calibri" w:cs="Calibri" w:eastAsia="Calibri" w:hAnsi="Calibri"/>
          <w:color w:val="111827"/>
          <w:sz w:val="21"/>
          <w:szCs w:val="21"/>
        </w:rPr>
        <w:t xml:space="preserve">Set-off (gstSetOff.ts): standard textbook utilization order (IGST → IGST/CGST/SGST liability, then CGST → CGST/IGST, then SGST → SGST/IGST, cess isolated) — not the fully cash-optimal algorithm the law permits some discretion for.</w:t>
      </w:r>
    </w:p>
    <w:p>
      <w:pPr>
        <w:pStyle w:val="ListParagraph"/>
        <w:numPr>
          <w:ilvl w:val="0"/>
          <w:numId w:val="1"/>
        </w:numPr>
        <w:spacing w:after="80"/>
      </w:pPr>
      <w:r>
        <w:rPr>
          <w:rFonts w:ascii="Calibri" w:cs="Calibri" w:eastAsia="Calibri" w:hAnsi="Calibri"/>
          <w:color w:val="111827"/>
          <w:sz w:val="21"/>
          <w:szCs w:val="21"/>
        </w:rPr>
        <w:t xml:space="preserve">ITC eligibility, reverse charge, composition scheme (core-sales-purchase + core-gst-engine): per-line eligibility flag; blocked credit folds into cost instead of an Input ledger; reverse-charge purchases self-assess Input/RCM-Liability, excluded from the vendor's payable; composition-scheme companies get zero output tax and zero ITC by construction.</w:t>
      </w:r>
    </w:p>
    <w:p>
      <w:pPr>
        <w:pStyle w:val="ListParagraph"/>
        <w:numPr>
          <w:ilvl w:val="0"/>
          <w:numId w:val="1"/>
        </w:numPr>
        <w:spacing w:after="80"/>
      </w:pPr>
      <w:r>
        <w:rPr>
          <w:rFonts w:ascii="Calibri" w:cs="Calibri" w:eastAsia="Calibri" w:hAnsi="Calibri"/>
          <w:color w:val="111827"/>
          <w:sz w:val="21"/>
          <w:szCs w:val="21"/>
        </w:rPr>
        <w:t xml:space="preserve">GSTR-1/3B/9/9C prep (core-sales-purchase/gstReturns.ts): CA-facing reference reports (on-screen + CSV export) — explicitly not the GST portal's upload-ready JSON schema.</w:t>
      </w:r>
    </w:p>
    <w:p>
      <w:pPr>
        <w:pStyle w:val="Heading2"/>
        <w:spacing w:after="120" w:before="260"/>
      </w:pPr>
      <w:r>
        <w:rPr>
          <w:rFonts w:ascii="Calibri" w:cs="Calibri" w:eastAsia="Calibri" w:hAnsi="Calibri"/>
          <w:b/>
          <w:bCs/>
          <w:color w:val="111827"/>
          <w:sz w:val="24"/>
          <w:szCs w:val="24"/>
        </w:rPr>
        <w:t xml:space="preserve">2.2 Test Scenarios</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542"/>
        <w:gridCol w:w="5235"/>
        <w:gridCol w:w="1625"/>
        <w:gridCol w:w="1625"/>
      </w:tblGrid>
      <w:tr>
        <w:trPr>
          <w:tblHeader/>
        </w:trPr>
        <w:tc>
          <w:tcPr>
            <w:tcW w:type="dxa" w:w="54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523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Scenario</w:t>
            </w:r>
          </w:p>
        </w:tc>
        <w:tc>
          <w:tcPr>
            <w:tcW w:type="dxa" w:w="162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Status</w:t>
            </w:r>
          </w:p>
        </w:tc>
        <w:tc>
          <w:tcPr>
            <w:tcW w:type="dxa" w:w="162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Reference</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Rate-change simulation — an old invoice keeps its old rate, a new invoice picks up the new rate, zero code change</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core-rules-engine/ruleSet.test.ts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G2</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Intra-state split (CGST+SGST), rounding absorbed so the two halves always sum to the exact total</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core-gst-engine/gstSplit.test.ts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G3</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Inter-state split (full rate as IGST)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core-gst-engine/gstSplit.test.ts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G4</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Cess applies as its own line, both intra- and inter-state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core-gst-engine/gstSplit.test.ts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G5</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Current GST 2.0 slabs (5/18/40%, 3% gold-silver) compute correctly</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core-gst-engine/gstSplit.test.ts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G6</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Set-off: IGST credit exhausts IGST liability first, then spills to CGST, then SGST</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core-gst-engine/gstSetOff.test.ts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G7</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Set-off: CGST/SGST credit never cross-utilizes with each other, only spills to IGST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core-gst-engine/gstSetOff.test.ts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G8</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Set-off: cess never cross-utilizes with CGST/SGST/IGST</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core-gst-engine/gstSetOff.test.ts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G9</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ITC eligible vs. blocked-credit routing</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Phase 4 Increment 2 (2026-09-06), 27-check pass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G10</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RCM purchase (Input+RCM-Payable pair) and RCM sale (zero output tax)</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G11</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Composition sale (zero tax, HSN recorded) and composition purchase (forced ITC-ineligible)</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G12</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GSTR-1 B2B/B2C classification + HSN-summary aggregation</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G13</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GSTR-3B net payable cross-checked against an independent computeGstSetOff call</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G14</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GSTR-9 full-year aggregation cross-checked against a wide-range GSTR-3B call</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G15</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Cancellation reverses output+input GST to exactly zero</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G9</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G16</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(194C/194J/194Q/194I) threshold-aware computation: under threshold, crossing invoice, every invoice after</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core-sales-purchase/tds.test.ts</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3. Payroll Engine</w:t>
      </w:r>
    </w:p>
    <w:p>
      <w:pPr>
        <w:pStyle w:val="Heading2"/>
        <w:spacing w:after="120" w:before="260"/>
      </w:pPr>
      <w:r>
        <w:rPr>
          <w:rFonts w:ascii="Calibri" w:cs="Calibri" w:eastAsia="Calibri" w:hAnsi="Calibri"/>
          <w:b/>
          <w:bCs/>
          <w:color w:val="111827"/>
          <w:sz w:val="24"/>
          <w:szCs w:val="24"/>
        </w:rPr>
        <w:t xml:space="preserve">3.1 What It Computes</w:t>
      </w:r>
    </w:p>
    <w:p>
      <w:pPr>
        <w:pStyle w:val="ListParagraph"/>
        <w:numPr>
          <w:ilvl w:val="0"/>
          <w:numId w:val="1"/>
        </w:numPr>
        <w:spacing w:after="80"/>
      </w:pPr>
      <w:r>
        <w:rPr>
          <w:rFonts w:ascii="Calibri" w:cs="Calibri" w:eastAsia="Calibri" w:hAnsi="Calibri"/>
          <w:color w:val="111827"/>
          <w:sz w:val="21"/>
          <w:szCs w:val="21"/>
        </w:rPr>
        <w:t xml:space="preserve">Wage-cap reclassification (wageClassification.ts): the Nov-2025 Labour Codes' unified wages definition — allowances above X% (RuleSet-driven, default 50%) of total pay get reclassified into the statutory wage base used for PF/ESI/gratuity.</w:t>
      </w:r>
    </w:p>
    <w:p>
      <w:pPr>
        <w:pStyle w:val="ListParagraph"/>
        <w:numPr>
          <w:ilvl w:val="0"/>
          <w:numId w:val="1"/>
        </w:numPr>
        <w:spacing w:after="80"/>
      </w:pPr>
      <w:r>
        <w:rPr>
          <w:rFonts w:ascii="Calibri" w:cs="Calibri" w:eastAsia="Calibri" w:hAnsi="Calibri"/>
          <w:color w:val="111827"/>
          <w:sz w:val="21"/>
          <w:szCs w:val="21"/>
        </w:rPr>
        <w:t xml:space="preserve">PF (pf.ts): 12%/12% (EE/ER, RuleSet default), capped at a wage ceiling — contributes on the wage base up to the ceiling, never above it.</w:t>
      </w:r>
    </w:p>
    <w:p>
      <w:pPr>
        <w:pStyle w:val="ListParagraph"/>
        <w:numPr>
          <w:ilvl w:val="0"/>
          <w:numId w:val="1"/>
        </w:numPr>
        <w:spacing w:after="80"/>
      </w:pPr>
      <w:r>
        <w:rPr>
          <w:rFonts w:ascii="Calibri" w:cs="Calibri" w:eastAsia="Calibri" w:hAnsi="Calibri"/>
          <w:color w:val="111827"/>
          <w:sz w:val="21"/>
          <w:szCs w:val="21"/>
        </w:rPr>
        <w:t xml:space="preserve">ESI (esi.ts): 0.75%/3.25% (RuleSet default), an all-or-nothing gross-wage-ceiling gate — above the ceiling, an employee is entirely outside the scheme for that month, not capped-and-contributing. (See Section 1.1, item 2, for a known limitation on this.)</w:t>
      </w:r>
    </w:p>
    <w:p>
      <w:pPr>
        <w:pStyle w:val="ListParagraph"/>
        <w:numPr>
          <w:ilvl w:val="0"/>
          <w:numId w:val="1"/>
        </w:numPr>
        <w:spacing w:after="80"/>
      </w:pPr>
      <w:r>
        <w:rPr>
          <w:rFonts w:ascii="Calibri" w:cs="Calibri" w:eastAsia="Calibri" w:hAnsi="Calibri"/>
          <w:color w:val="111827"/>
          <w:sz w:val="21"/>
          <w:szCs w:val="21"/>
        </w:rPr>
        <w:t xml:space="preserve">Professional Tax (pt.ts): slab-based, state-jurisdiction-keyed, no national default — an unconfigured state correctly resolves to ₹0.</w:t>
      </w:r>
    </w:p>
    <w:p>
      <w:pPr>
        <w:pStyle w:val="ListParagraph"/>
        <w:numPr>
          <w:ilvl w:val="0"/>
          <w:numId w:val="1"/>
        </w:numPr>
        <w:spacing w:after="80"/>
      </w:pPr>
      <w:r>
        <w:rPr>
          <w:rFonts w:ascii="Calibri" w:cs="Calibri" w:eastAsia="Calibri" w:hAnsi="Calibri"/>
          <w:color w:val="111827"/>
          <w:sz w:val="21"/>
          <w:szCs w:val="21"/>
        </w:rPr>
        <w:t xml:space="preserve">Salary TDS, new regime only (salaryTds.ts): progressive slabs (FY 2025-26 defaults) with Section 87A rebate and 4% cess. Old regime is deliberately not computed. (See Section 1.1, item 3, on the rebate's current cliff-edge behavior.)</w:t>
      </w:r>
    </w:p>
    <w:p>
      <w:pPr>
        <w:pStyle w:val="ListParagraph"/>
        <w:numPr>
          <w:ilvl w:val="0"/>
          <w:numId w:val="1"/>
        </w:numPr>
        <w:spacing w:after="80"/>
      </w:pPr>
      <w:r>
        <w:rPr>
          <w:rFonts w:ascii="Calibri" w:cs="Calibri" w:eastAsia="Calibri" w:hAnsi="Calibri"/>
          <w:color w:val="111827"/>
          <w:sz w:val="21"/>
          <w:szCs w:val="21"/>
        </w:rPr>
        <w:t xml:space="preserve">Headcount-driven applicability (applicability.ts): PF needs 20+ employees, ESI/Gratuity need 10+, each independently AUTO/ALWAYS/NEVER-configurable; gratuity's AUTO mode is sticky.</w:t>
      </w:r>
    </w:p>
    <w:p>
      <w:pPr>
        <w:pStyle w:val="ListParagraph"/>
        <w:numPr>
          <w:ilvl w:val="0"/>
          <w:numId w:val="1"/>
        </w:numPr>
        <w:spacing w:after="80"/>
      </w:pPr>
      <w:r>
        <w:rPr>
          <w:rFonts w:ascii="Calibri" w:cs="Calibri" w:eastAsia="Calibri" w:hAnsi="Calibri"/>
          <w:color w:val="111827"/>
          <w:sz w:val="21"/>
          <w:szCs w:val="21"/>
        </w:rPr>
        <w:t xml:space="preserve">Gratuity (gratuity.ts): formula-based (15/26 × last-drawn monthly wage × rounded years of service) — not an actuarial AS-15/Ind AS-19 valuation. Permanent employees need 5 years, fixed-term need 1 year; consultants are never eligible.</w:t>
      </w:r>
    </w:p>
    <w:p>
      <w:pPr>
        <w:pStyle w:val="Heading2"/>
        <w:spacing w:after="120" w:before="260"/>
      </w:pPr>
      <w:r>
        <w:rPr>
          <w:rFonts w:ascii="Calibri" w:cs="Calibri" w:eastAsia="Calibri" w:hAnsi="Calibri"/>
          <w:b/>
          <w:bCs/>
          <w:color w:val="111827"/>
          <w:sz w:val="24"/>
          <w:szCs w:val="24"/>
        </w:rPr>
        <w:t xml:space="preserve">3.2 Test Scenarios</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542"/>
        <w:gridCol w:w="5235"/>
        <w:gridCol w:w="1625"/>
        <w:gridCol w:w="1625"/>
      </w:tblGrid>
      <w:tr>
        <w:trPr>
          <w:tblHeader/>
        </w:trPr>
        <w:tc>
          <w:tcPr>
            <w:tcW w:type="dxa" w:w="54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523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Scenario</w:t>
            </w:r>
          </w:p>
        </w:tc>
        <w:tc>
          <w:tcPr>
            <w:tcW w:type="dxa" w:w="162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Status</w:t>
            </w:r>
          </w:p>
        </w:tc>
        <w:tc>
          <w:tcPr>
            <w:tcW w:type="dxa" w:w="1625"/>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Reference</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The literal wage-cap test: allowances above the cap reclassify, allowances within the cap don't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core-payroll-engine/wageClassification.test.ts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P2</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Wage-cap rate-change simulation (changing the cap % changes the result, zero code change)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core-payroll-engine/wageClassification.test.ts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P3</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PF: contributes on actual wage below the ceiling, capped exactly at the ceiling above it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core-payroll-engine/statutoryDeductions.test.ts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P4</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ESI: all-or-nothing gate (applicable below/at ceiling, inapplicable above)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core-payroll-engine/statutoryDeductions.test.ts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P5</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PT: unconfigured state resolves to ₹0; slab selection is order-independent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core-payroll-engine/statutoryDeductions.test.ts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P6</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New-regime TDS: Section 87A rebate below/at threshold, full worked progressive-slab example above it</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core-payroll-engine/statutoryDeductions.test.ts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P7</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Headcount thresholds: 1/10/20 employees each cross a different scheme's applicability boundary</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core-payroll-engine/applicability.test.ts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P8</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Sticky gratuity: crossing 10 then dropping back still leaves gratuity applicable; ESI correctly turns back off</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core-payroll-engine/applicability.test.ts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P9</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Explicit ALWAYS/NEVER settings override headcount-driven AUTO</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core-payroll-engine/applicability.test.ts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P10</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Gratuity eligibility: fixed-term (1yr) vs. permanent (5yr) at the identical 400-day tenure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core-payroll-engine/gratuity.test.ts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P11</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"Part thereof in excess of six months" rounding rule (4yr7mo rounds up, 4yr5mo does not)</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core-payroll-engine/gratuity.test.ts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P12</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Consultants never eligible for gratuity regardless of tenure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core-payroll-engine/gratuity.test.ts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P13</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Monthly gratuity provisioning increment never goes negative</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5803D"/>
                <w:sz w:val="18"/>
                <w:szCs w:val="18"/>
              </w:rPr>
              <w:t xml:space="preserve">✅ Automated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core-payroll-engine/gratuity.test.ts</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P14</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A real two-employee payroll run with PF/ESI/PT/TDS all live, voucher Dr/Cr matched to the paise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Phase 7 (2026-09-07), 76-check pass</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P15</w:t>
            </w:r>
          </w:p>
        </w:tc>
        <w:tc>
          <w:tcPr>
            <w:tcW w:type="dxa" w:w="523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Full gratuity lifecycle: provisioning, zero-adjustment separation, settlement, refusal for ineligible employee</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P14</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P16</w:t>
            </w:r>
          </w:p>
        </w:tc>
        <w:tc>
          <w:tcPr>
            <w:tcW w:type="dxa" w:w="523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Salary-structure revision is append-only (old row SUPERSEDED, new row ACTIVE)</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B45309"/>
                <w:sz w:val="18"/>
                <w:szCs w:val="18"/>
              </w:rPr>
              <w:t xml:space="preserve">📋 Manually verified</w:t>
            </w:r>
          </w:p>
        </w:tc>
        <w:tc>
          <w:tcPr>
            <w:tcW w:type="dxa" w:w="1625"/>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same session as P14</w:t>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4. Known Simplifications Requiring CA Confirmation</w:t>
      </w:r>
    </w:p>
    <w:p>
      <w:pPr>
        <w:spacing w:after="140"/>
      </w:pPr>
      <w:r>
        <w:rPr>
          <w:rFonts w:ascii="Calibri" w:cs="Calibri" w:eastAsia="Calibri" w:hAnsi="Calibri"/>
          <w:color w:val="111827"/>
          <w:sz w:val="21"/>
          <w:szCs w:val="21"/>
        </w:rPr>
        <w:t xml:space="preserve">Every row below is a deliberate, disclosed scope choice. Please initial each row to confirm it is acceptable for your client base, or note what needs to change before go-live. Rows S17–S18 are new — added after our own internal adversarial review (Section 1.2); two further items that review found (ESI contribution-period continuity, Section 87A marginal relief) have already been fixed in code and are recorded in Section 1.1 instead, since they are no longer simplifications requiring sign-off.</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722"/>
        <w:gridCol w:w="6679"/>
        <w:gridCol w:w="1625"/>
      </w:tblGrid>
      <w:tr>
        <w:trPr>
          <w:tblHeader/>
        </w:trPr>
        <w:tc>
          <w:tcPr>
            <w:tcW w:type="dxa" w:w="72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667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Simplification</w:t>
            </w:r>
          </w:p>
        </w:tc>
        <w:tc>
          <w:tcPr>
            <w:tcW w:type="dxa" w:w="1625"/>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Initial / Date</w:t>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cess is a single flat rate per HSN/SAC — not the tiered/per-unit structure real compensation cess sometimes uses.</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S2</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a null company/party state code defaults to intra-state (CGST+SGST) — no export/SEZ zero-rating concept exists yet.</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S3</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composition scheme is fixed at company creation with no in-app path to switch later.</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S4</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no CMP-08 auto-posting for a composition dealer's own flat-rate quarterly liability.</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S5</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computeGstSetOff's utilization order is the standard textbook rule, not the fully cash-minimizing algorithm the law permits.</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S6</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GSTR-9's Part V (prior-year amendments) is not modeled.</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S7</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GSTR-1/3B/9/9C are CA-facing reference reports (CSV export), not the GST portal's exact upload-ready JSON schema.</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S8</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194Q's buyer-turnover eligibility gate (&gt;₹10cr) is not enforced.</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S9</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Section 43B(h) MSME due date always assumes the 45-day cap, never the 15-day fallback.</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S10</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no Form 26Q/16A generation.</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S11</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old tax regime is not computed at all.</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S12</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TDS regime is a company-wide setting, not per-employee.</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S13</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gratuity is a formula estimate, not an actuarial AS-15/Ind AS-19 valuation.</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S14</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no Form 16/Form 24Q generation, and no PF/ESI e-filing (ECR/challan) integration.</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S15</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leave entitlement is a flat annual grant, not accrued or pro-rated for a mid-year joiner.</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S16</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no half-day leave applications.</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S17</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no GST TDS (Section 51) or GST TCS (Section 52) is modeled — only Income-tax vendor TDS (194 series) exists.</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r>
        <w:tc>
          <w:tcPr>
            <w:tcW w:type="dxa" w:w="72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S18</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the TDS section is entirely manually tagged per invoice with no validation against an omitted deduction.</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
            </w:r>
          </w:p>
        </w:tc>
      </w:tr>
    </w:tbl>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5. Seeing Real Numbers: the Built-in Demo Mode Company</w:t>
      </w:r>
    </w:p>
    <w:p>
      <w:pPr>
        <w:spacing w:after="140"/>
      </w:pPr>
      <w:r>
        <w:rPr>
          <w:rFonts w:ascii="Calibri" w:cs="Calibri" w:eastAsia="Calibri" w:hAnsi="Calibri"/>
          <w:color w:val="111827"/>
          <w:sz w:val="21"/>
          <w:szCs w:val="21"/>
        </w:rPr>
        <w:t xml:space="preserve">Rather than a fabricated example in this document, open the app and click "Try Demo" on the company list screen — it builds a fresh company with 5 parties, 8 items (5 stockable + 3 service, real HSN/SAC codes), 2 purchase + 4 sales invoices, and a receipt + payment voucher, all posted through the exact same code path a real user's click would take.</w:t>
      </w:r>
    </w:p>
    <w:p>
      <w:pPr>
        <w:pStyle w:val="ListParagraph"/>
        <w:numPr>
          <w:ilvl w:val="0"/>
          <w:numId w:val="1"/>
        </w:numPr>
        <w:spacing w:after="80"/>
      </w:pPr>
      <w:r>
        <w:rPr>
          <w:rFonts w:ascii="Calibri" w:cs="Calibri" w:eastAsia="Calibri" w:hAnsi="Calibri"/>
          <w:color w:val="111827"/>
          <w:sz w:val="21"/>
          <w:szCs w:val="21"/>
        </w:rPr>
        <w:t xml:space="preserve">GST Returns screen → run GSTR-1/3B for the demo period, export the CSV, review actual computed figures against Section 2.</w:t>
      </w:r>
    </w:p>
    <w:p>
      <w:pPr>
        <w:pStyle w:val="ListParagraph"/>
        <w:numPr>
          <w:ilvl w:val="0"/>
          <w:numId w:val="1"/>
        </w:numPr>
        <w:spacing w:after="80"/>
      </w:pPr>
      <w:r>
        <w:rPr>
          <w:rFonts w:ascii="Calibri" w:cs="Calibri" w:eastAsia="Calibri" w:hAnsi="Calibri"/>
          <w:color w:val="111827"/>
          <w:sz w:val="21"/>
          <w:szCs w:val="21"/>
        </w:rPr>
        <w:t xml:space="preserve">Payroll Runs screen → create/process a run against demo employees, export the CSV, review actual figures against Section 3.</w:t>
      </w:r>
    </w:p>
    <w:p>
      <w:pPr>
        <w:pStyle w:val="ListParagraph"/>
        <w:numPr>
          <w:ilvl w:val="0"/>
          <w:numId w:val="1"/>
        </w:numPr>
        <w:spacing w:after="80"/>
      </w:pPr>
      <w:r>
        <w:rPr>
          <w:rFonts w:ascii="Calibri" w:cs="Calibri" w:eastAsia="Calibri" w:hAnsi="Calibri"/>
          <w:color w:val="111827"/>
          <w:sz w:val="21"/>
          <w:szCs w:val="21"/>
        </w:rPr>
        <w:t xml:space="preserve">Trial Balance / P&amp;L / Balance Sheet → confirm the whole company still balances to the paisa with all of the above posted.</w:t>
      </w:r>
    </w:p>
    <w:p>
      <w:pPr>
        <w:spacing w:after="140"/>
      </w:pPr>
      <w:r>
        <w:rPr>
          <w:rFonts w:ascii="Calibri" w:cs="Calibri" w:eastAsia="Calibri" w:hAnsi="Calibri"/>
          <w:color w:val="111827"/>
          <w:sz w:val="21"/>
          <w:szCs w:val="21"/>
        </w:rPr>
        <w:t xml:space="preserve">Every "Try Demo" click wipes and recreates a fresh demo company, so this is safe to explore repeatedly without affecting any real company data.</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6. Chartered Accountant Sign-off</w:t>
      </w:r>
    </w:p>
    <w:tbl>
      <w:tblPr>
        <w:tblW w:type="pct" w:w="100%"/>
        <w:tblBorders>
          <w:top w:val="single" w:color="B91C1C" w:sz="4"/>
          <w:left w:val="single" w:color="B91C1C" w:sz="24"/>
          <w:bottom w:val="single" w:color="B91C1C" w:sz="4"/>
          <w:right w:val="single" w:color="B91C1C"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B91C1C"/>
                <w:sz w:val="20"/>
                <w:szCs w:val="20"/>
              </w:rPr>
              <w:t xml:space="preserve">For the reviewing CA</w:t>
            </w:r>
          </w:p>
          <w:p>
            <w:r>
              <w:rPr>
                <w:rFonts w:ascii="Calibri" w:cs="Calibri" w:eastAsia="Calibri" w:hAnsi="Calibri"/>
                <w:color w:val="111827"/>
                <w:sz w:val="20"/>
                <w:szCs w:val="20"/>
              </w:rPr>
              <w:t xml:space="preserve">This section is intentionally left blank below. Nothing in this document should be read, printed, or represented as reviewed, approved, or signed until you complete and sign this section yourself.</w:t>
            </w:r>
          </w:p>
        </w:tc>
      </w:tr>
    </w:tbl>
    <w:p>
      <w:pPr>
        <w:spacing w:after="200"/>
      </w:pP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3159"/>
        <w:gridCol w:w="5867"/>
      </w:tblGrid>
      <w:tr>
        <w:trPr>
          <w:tblHeader/>
        </w:trPr>
        <w:tc>
          <w:tcPr>
            <w:tcW w:type="dxa" w:w="315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Field</w:t>
            </w:r>
          </w:p>
        </w:tc>
        <w:tc>
          <w:tcPr>
            <w:tcW w:type="dxa" w:w="5867"/>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
            </w:r>
          </w:p>
        </w:tc>
      </w:tr>
      <w:tr>
        <w:tc>
          <w:tcPr>
            <w:tcW w:type="dxa" w:w="315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Reviewed by (Name)</w:t>
            </w:r>
          </w:p>
        </w:tc>
        <w:tc>
          <w:tcPr>
            <w:tcW w:type="dxa" w:w="5867"/>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Firm / Membership No. (ICAI)</w:t>
            </w:r>
          </w:p>
        </w:tc>
        <w:tc>
          <w:tcPr>
            <w:tcW w:type="dxa" w:w="5867"/>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Scope of this review</w:t>
            </w:r>
          </w:p>
        </w:tc>
        <w:tc>
          <w:tcPr>
            <w:tcW w:type="dxa" w:w="5867"/>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Findings / conditions (if any)</w:t>
            </w:r>
          </w:p>
        </w:tc>
        <w:tc>
          <w:tcPr>
            <w:tcW w:type="dxa" w:w="5867"/>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
            </w:r>
          </w:p>
        </w:tc>
        <w:tc>
          <w:tcPr>
            <w:tcW w:type="dxa" w:w="5867"/>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Overall assessment</w:t>
            </w:r>
          </w:p>
        </w:tc>
        <w:tc>
          <w:tcPr>
            <w:tcW w:type="dxa" w:w="5867"/>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 Approved as-is    ☐ Approved with conditions above    ☐ Not yet approved</w:t>
            </w:r>
          </w:p>
        </w:tc>
      </w:tr>
      <w:tr>
        <w:tc>
          <w:tcPr>
            <w:tcW w:type="dxa" w:w="315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Signature</w:t>
            </w:r>
          </w:p>
        </w:tc>
        <w:tc>
          <w:tcPr>
            <w:tcW w:type="dxa" w:w="5867"/>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r>
        <w:tc>
          <w:tcPr>
            <w:tcW w:type="dxa" w:w="315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Date</w:t>
            </w:r>
          </w:p>
        </w:tc>
        <w:tc>
          <w:tcPr>
            <w:tcW w:type="dxa" w:w="5867"/>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_______________________________________________</w:t>
            </w:r>
          </w:p>
        </w:tc>
      </w:tr>
    </w:tbl>
    <w:p>
      <w:pPr>
        <w:spacing w:after="300"/>
      </w:pPr>
    </w:p>
    <w:p>
      <w:pPr>
        <w:spacing w:after="140"/>
      </w:pPr>
      <w:r>
        <w:rPr>
          <w:rFonts w:ascii="Calibri" w:cs="Calibri" w:eastAsia="Calibri" w:hAnsi="Calibri"/>
          <w:i/>
          <w:iCs/>
          <w:color w:val="6B7280"/>
          <w:sz w:val="21"/>
          <w:szCs w:val="21"/>
        </w:rPr>
        <w:t xml:space="preserve">Thank you for your time reviewing this pack. Please direct any questions to the contact on the cover note accompanying this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spacing w:before="120"/>
    </w:pPr>
    <w:r>
      <w:rPr>
        <w:rFonts w:ascii="Calibri" w:cs="Calibri" w:eastAsia="Calibri" w:hAnsi="Calibri"/>
        <w:color w:val="6B7280"/>
        <w:sz w:val="14"/>
        <w:szCs w:val="14"/>
      </w:rPr>
      <w:t xml:space="preserve">MHTSdigiXR • KoodaldigiXS • Maanagarram Hi Tech Solutions • Confidential &amp; Proprietary</w:t>
    </w:r>
    <w:r>
      <w:rPr>
        <w:rFonts w:ascii="Calibri" w:cs="Calibri" w:eastAsia="Calibri" w:hAnsi="Calibri"/>
      </w:rPr>
      <w:t xml:space="preserve">	</w:t>
    </w: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r>
      <w:rPr>
        <w:rFonts w:ascii="Calibri" w:cs="Calibri" w:eastAsia="Calibri" w:hAnsi="Calibri"/>
        <w:color w:val="6B7280"/>
        <w:sz w:val="14"/>
        <w:szCs w:val="14"/>
      </w:rPr>
      <w:t xml:space="preserve"> of </w:t>
    </w:r>
    <w:r>
      <w:rPr>
        <w:rFonts w:ascii="Calibri" w:cs="Calibri" w:eastAsia="Calibri" w:hAnsi="Calibri"/>
        <w:color w:val="6B7280"/>
        <w:sz w:val="14"/>
        <w:szCs w:val="14"/>
      </w:rPr>
      <w:fldChar w:fldCharType="begin"/>
      <w:instrText xml:space="preserve">NUMPAGES</w:instrText>
      <w:fldChar w:fldCharType="separate"/>
      <w:fldChar w:fldCharType="end"/>
    </w:r>
  </w:p>
  <w:p>
    <w:r>
      <w:rPr>
        <w:rFonts w:ascii="Calibri" w:cs="Calibri" w:eastAsia="Calibri" w:hAnsi="Calibri"/>
        <w:color w:val="6B7280"/>
        <w:sz w:val="12"/>
        <w:szCs w:val="12"/>
      </w:rPr>
      <w:t xml:space="preserve">No 4056, 5th Main Road, Ayyapakam, Chennai, Tamil Nadu, India – 600077  |  Tel: 044-47740195  |  Mob: +91 7358105995  |  www.mhtsdigixr.com  |  GSTIN: 33AMFPR8672L1Z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6"/>
      </w:pBdr>
      <w:tabs>
        <w:tab w:val="right" w:pos="9026"/>
      </w:tabs>
      <w:spacing w:after="120"/>
    </w:pPr>
    <w:r>
      <w:drawing>
        <wp:inline distT="0" distB="0" distL="0" distR="0">
          <wp:extent cx="857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33400"/>
                  </a:xfrm>
                  <a:prstGeom prst="rect">
                    <a:avLst/>
                  </a:prstGeom>
                </pic:spPr>
              </pic:pic>
            </a:graphicData>
          </a:graphic>
        </wp:inline>
      </w:drawing>
    </w:r>
    <w:r>
      <w:rPr>
        <w:rFonts w:ascii="Calibri" w:cs="Calibri" w:eastAsia="Calibri" w:hAnsi="Calibri"/>
      </w:rPr>
      <w:t xml:space="preserve">	</w:t>
    </w:r>
    <w:r>
      <w:rPr>
        <w:rFonts w:ascii="Calibri" w:cs="Calibri" w:eastAsia="Calibri" w:hAnsi="Calibri"/>
        <w:i/>
        <w:iCs/>
        <w:color w:val="6B7280"/>
        <w:sz w:val="16"/>
        <w:szCs w:val="16"/>
      </w:rPr>
      <w:t xml:space="preserve">Business Accounting • GST • Inventory • Payroll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7d9cf5b5d8cbf6aadac7adbf1ea1f61655db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acb926cd5d89f8d706f1163b34e835acae1e6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2026-09-08T03:13:55.119Z</dcterms:created>
  <dcterms:modified xsi:type="dcterms:W3CDTF">2026-09-08T03:13:55.120Z</dcterms:modified>
</cp:coreProperties>
</file>

<file path=docProps/custom.xml><?xml version="1.0" encoding="utf-8"?>
<Properties xmlns="http://schemas.openxmlformats.org/officeDocument/2006/custom-properties" xmlns:vt="http://schemas.openxmlformats.org/officeDocument/2006/docPropsVTypes"/>
</file>