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300"/>
        <w:jc w:val="center"/>
      </w:pPr>
      <w:r>
        <w:rPr>
          <w:rFonts w:ascii="Calibri" w:cs="Calibri" w:eastAsia="Calibri" w:hAnsi="Calibri"/>
          <w:b/>
          <w:bCs/>
          <w:color w:val="2563EB"/>
          <w:spacing w:val="20"/>
          <w:sz w:val="22"/>
          <w:szCs w:val="22"/>
        </w:rPr>
        <w:t xml:space="preserve">INTERNAL ENGINEERING &amp; DEMO GUIDE</w:t>
      </w:r>
    </w:p>
    <w:p>
      <w:pPr>
        <w:spacing w:after="100" w:before="100"/>
        <w:jc w:val="center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Launch &amp; Live Demo Guide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Build, Package, and Present MHTS ERP — No Prior Codebase Knowledge Required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B7280"/>
          <w:sz w:val="20"/>
          <w:szCs w:val="20"/>
        </w:rPr>
        <w:t xml:space="preserve">Product: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MHTS ERP — Business Accounting, GST, Inventory &amp; Payroll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B7280"/>
          <w:sz w:val="20"/>
          <w:szCs w:val="20"/>
        </w:rPr>
        <w:t xml:space="preserve">Demo path: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Built-in "Try Demo" one-click sample company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B7280"/>
          <w:sz w:val="20"/>
          <w:szCs w:val="20"/>
        </w:rPr>
        <w:t xml:space="preserve">Date prepared: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2026-09-08</w:t>
      </w:r>
    </w:p>
    <w:p>
      <w:pPr>
        <w:spacing w:before="500"/>
        <w:jc w:val="center"/>
      </w:pPr>
      <w:r>
        <w:rPr>
          <w:rFonts w:ascii="Calibri" w:cs="Calibri" w:eastAsia="Calibri" w:hAnsi="Calibri"/>
          <w:i/>
          <w:iCs/>
          <w:color w:val="2563EB"/>
          <w:sz w:val="18"/>
          <w:szCs w:val="18"/>
        </w:rPr>
        <w:t xml:space="preserve">Voice Your Vision. Scale Your Impact.</w:t>
      </w:r>
    </w:p>
    <w:p>
      <w:r>
        <w:br w:type="page"/>
      </w:r>
    </w:p>
    <w:p>
      <w:pPr>
        <w:pStyle w:val="Heading1"/>
        <w:pBdr>
          <w:bottom w:val="single" w:color="2563EB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563EB"/>
          <w:sz w:val="30"/>
          <w:szCs w:val="30"/>
        </w:rPr>
        <w:t xml:space="preserve">1. Before You Start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This guide assumes nothing about your familiarity with this codebase. It covers three separate things: running the app in developer mode, building a real installable package, and — the part you probably came here for — a step-by-step script for giving someone a live walkthrough using the app's own built-in sample company.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11827"/>
          <w:sz w:val="24"/>
          <w:szCs w:val="24"/>
        </w:rPr>
        <w:t xml:space="preserve">Prerequisites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4"/>
          <w:insideV w:val="single" w:color="E5E7EB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2563E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318"/>
            <w:shd w:fill="2563E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2708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Node.js</w:t>
            </w:r>
          </w:p>
        </w:tc>
        <w:tc>
          <w:tcPr>
            <w:tcW w:type="dxa" w:w="6318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22 or later (24 LTS recommended — this is the version the packaged build has actually been verified against). Electron 44 bundles Node ≥24 internally; the native database driver requires Node ≥22 at the tooling level.</w:t>
            </w:r>
          </w:p>
        </w:tc>
      </w:tr>
      <w:tr>
        <w:tc>
          <w:tcPr>
            <w:tcW w:type="dxa" w:w="2708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</w:t>
            </w:r>
          </w:p>
        </w:tc>
        <w:tc>
          <w:tcPr>
            <w:tcW w:type="dxa" w:w="6318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Ships with Node.js — no separate install needed. This is an npm workspaces monorepo (root package.json lists apps/* and packages/* as workspaces).</w:t>
            </w:r>
          </w:p>
        </w:tc>
      </w:tr>
      <w:tr>
        <w:tc>
          <w:tcPr>
            <w:tcW w:type="dxa" w:w="2708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Operating system</w:t>
            </w:r>
          </w:p>
        </w:tc>
        <w:tc>
          <w:tcPr>
            <w:tcW w:type="dxa" w:w="6318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Windows is the only platform with a fully built and verified installer today (NSIS). macOS (DMG) and Linux (AppImage) packaging configs exist but have not yet been built/verified end-to-end — see Section 4.</w:t>
            </w:r>
          </w:p>
        </w:tc>
      </w:tr>
      <w:tr>
        <w:tc>
          <w:tcPr>
            <w:tcW w:type="dxa" w:w="2708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Git</w:t>
            </w:r>
          </w:p>
        </w:tc>
        <w:tc>
          <w:tcPr>
            <w:tcW w:type="dxa" w:w="6318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To clone/update the repository.</w:t>
            </w:r>
          </w:p>
        </w:tc>
      </w:tr>
      <w:tr>
        <w:tc>
          <w:tcPr>
            <w:tcW w:type="dxa" w:w="2708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Disk space</w:t>
            </w:r>
          </w:p>
        </w:tc>
        <w:tc>
          <w:tcPr>
            <w:tcW w:type="dxa" w:w="6318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~1–2 GB for node_modules plus build output across the monorepo.</w:t>
            </w:r>
          </w:p>
        </w:tc>
      </w:tr>
    </w:tbl>
    <w:tbl>
      <w:tblPr>
        <w:tblW w:type="pct" w:w="100%"/>
        <w:tblBorders>
          <w:top w:val="single" w:color="15803D" w:sz="4"/>
          <w:left w:val="single" w:color="15803D" w:sz="24"/>
          <w:bottom w:val="single" w:color="15803D" w:sz="4"/>
          <w:right w:val="single" w:color="15803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FF6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You do not need</w:t>
            </w:r>
          </w:p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Docker, a database server, an internet connection after the initial `npm install`, or any account/API key. This is an offline-first desktop app — every dependency (including the encrypted SQLite database engine) is bundled or generated locally.</w:t>
            </w:r>
          </w:p>
        </w:tc>
      </w:tr>
    </w:tbl>
    <w:p>
      <w:pPr>
        <w:pStyle w:val="Heading1"/>
        <w:pBdr>
          <w:bottom w:val="single" w:color="2563EB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563EB"/>
          <w:sz w:val="30"/>
          <w:szCs w:val="30"/>
        </w:rPr>
        <w:t xml:space="preserve">2. Three Ways to Run This App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4"/>
          <w:insideV w:val="single" w:color="E5E7EB" w:sz="4"/>
        </w:tblBorders>
      </w:tblPr>
      <w:tblGrid>
        <w:gridCol w:w="1986"/>
        <w:gridCol w:w="3610"/>
        <w:gridCol w:w="3430"/>
      </w:tblGrid>
      <w:tr>
        <w:trPr>
          <w:tblHeader/>
        </w:trPr>
        <w:tc>
          <w:tcPr>
            <w:tcW w:type="dxa" w:w="1986"/>
            <w:shd w:fill="2563E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3610"/>
            <w:shd w:fill="2563E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When to use it</w:t>
            </w:r>
          </w:p>
        </w:tc>
        <w:tc>
          <w:tcPr>
            <w:tcW w:type="dxa" w:w="3430"/>
            <w:shd w:fill="2563E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c>
          <w:tcPr>
            <w:tcW w:type="dxa" w:w="1986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Dev mode</w:t>
            </w:r>
          </w:p>
        </w:tc>
        <w:tc>
          <w:tcPr>
            <w:tcW w:type="dxa" w:w="361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Fastest way to see the app running, with hot-reload. Best for a quick internal look or for continuing development.</w:t>
            </w:r>
          </w:p>
        </w:tc>
        <w:tc>
          <w:tcPr>
            <w:tcW w:type="dxa" w:w="343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 run dev (inside apps/desktop-shell)</w:t>
            </w:r>
          </w:p>
        </w:tc>
      </w:tr>
      <w:tr>
        <w:tc>
          <w:tcPr>
            <w:tcW w:type="dxa" w:w="1986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Packaged build</w:t>
            </w:r>
          </w:p>
        </w:tc>
        <w:tc>
          <w:tcPr>
            <w:tcW w:type="dxa" w:w="3610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 real, installable .exe you can hand to someone or run on a machine with no dev tools installed. What a real customer would actually receive.</w:t>
            </w:r>
          </w:p>
        </w:tc>
        <w:tc>
          <w:tcPr>
            <w:tcW w:type="dxa" w:w="3430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 run package:win (inside apps/desktop-shell)</w:t>
            </w:r>
          </w:p>
        </w:tc>
      </w:tr>
      <w:tr>
        <w:tc>
          <w:tcPr>
            <w:tcW w:type="dxa" w:w="1986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Try Demo (inside either)</w:t>
            </w:r>
          </w:p>
        </w:tc>
        <w:tc>
          <w:tcPr>
            <w:tcW w:type="dxa" w:w="361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The one-click sample company — the actual live-demo path this guide walks through in Section 5.</w:t>
            </w:r>
          </w:p>
        </w:tc>
        <w:tc>
          <w:tcPr>
            <w:tcW w:type="dxa" w:w="343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Click "Try Demo" on the in-app Company List screen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563EB"/>
          <w:sz w:val="30"/>
          <w:szCs w:val="30"/>
        </w:rPr>
        <w:t xml:space="preserve">3. Running in Dev Mode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1.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Clone and enter the repository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default"/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2.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Install dependencies (once, from the repository root)</w:t>
      </w:r>
    </w:p>
    <w:p>
      <w:pPr>
        <w:shd w:fill="F3F4F6" w:color="auto" w:val="clear"/>
        <w:spacing w:after="140" w:before="60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npm install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This installs every package across the whole monorepo (all core-* packages, both apps) in one pass — npm workspaces link the internal @mhts/* packages to each other automatically. This can take a few minutes the first time.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3.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Start the app in dev mode</w:t>
      </w:r>
    </w:p>
    <w:p>
      <w:pPr>
        <w:shd w:fill="F3F4F6" w:color="auto" w:val="clear"/>
        <w:spacing w:after="140" w:before="60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cd apps/desktop-shell
npm run dev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This runs electron-vite dev, which launches an actual Electron window with hot-reload on the renderer. The very first launch creates a fresh, empty system.db in your OS user-data folder and takes you to the Company List screen — there is nothing to configure first.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4.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Stop the app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Close the window, or Ctrl+C in the terminal it was launched from.</w:t>
      </w:r>
    </w:p>
    <w:p>
      <w:pPr>
        <w:pStyle w:val="Heading1"/>
        <w:pBdr>
          <w:bottom w:val="single" w:color="2563EB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563EB"/>
          <w:sz w:val="30"/>
          <w:szCs w:val="30"/>
        </w:rPr>
        <w:t xml:space="preserve">4. Building a Real Packaged Installer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This produces the same kind of .exe a real customer would download and run — useful for a demo on a machine without Node/npm installed, or for testing the actual install/launch experience.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1.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Build every workspace package first (recommended, from the repository root)</w:t>
      </w:r>
    </w:p>
    <w:p>
      <w:pPr>
        <w:shd w:fill="F3F4F6" w:color="auto" w:val="clear"/>
        <w:spacing w:after="140" w:before="60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npm run build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Runs nx run-many -t build across all 22 Nx projects in the workspace. Not strictly required before packaging (electron-vite build runs its own build internally), but catches any TypeScript/lint problem earlier and is the same command CI-style verification uses throughout this project.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2.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Package the Windows installer</w:t>
      </w:r>
    </w:p>
    <w:p>
      <w:pPr>
        <w:shd w:fill="F3F4F6" w:color="auto" w:val="clear"/>
        <w:spacing w:after="140" w:before="60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cd apps/desktop-shell
npm run package:win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This generates a placeholder app icon, then runs electron-builder for a Windows NSIS target. Expect this to take a few minutes — it bundles Electron itself, the native encrypted-database driver's prebuilt binary, and every workspace package's compiled output into one archive.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3.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Find and run the installer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Output lands in apps/desktop-shell/dist/ — look for something like "MHTS ERP Setup &lt;version&gt;.exe". Run it like any Windows installer; it adds a Start Menu entry and does not require admin rights for a per-user install.</w:t>
      </w:r>
    </w:p>
    <w:tbl>
      <w:tblPr>
        <w:tblW w:type="pct" w:w="100%"/>
        <w:tblBorders>
          <w:top w:val="single" w:color="2563EB" w:sz="4"/>
          <w:left w:val="single" w:color="2563EB" w:sz="24"/>
          <w:bottom w:val="single" w:color="2563EB" w:sz="4"/>
          <w:right w:val="single" w:color="2563EB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FF6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0"/>
                <w:szCs w:val="20"/>
              </w:rPr>
              <w:t xml:space="preserve">macOS and Linux</w:t>
            </w:r>
          </w:p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npm run package:mac and npm run package:linux exist and are configured, but DMG creation needs a real macOS host (cannot be done from Windows) and the Linux AppImage target needs symlink-creation privileges some sandboxed environments don't grant. Build these on their native platform, or a CI runner, before relying on them for a real demo.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563EB"/>
          <w:sz w:val="30"/>
          <w:szCs w:val="30"/>
        </w:rPr>
        <w:t xml:space="preserve">5. The Live Demo Script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This is the actual walkthrough. It uses the app's built-in Demo Mode — a real company seeded with realistic data (5 parties, 8 items, 2 purchase + 4 sales invoices, and a receipt + payment voucher), posted through the exact same code path a genuine user's click would take. Nothing here is a mockup or a screenshot — every figure you show is a live computed number.</w:t>
      </w:r>
    </w:p>
    <w:tbl>
      <w:tblPr>
        <w:tblW w:type="pct" w:w="100%"/>
        <w:tblBorders>
          <w:top w:val="single" w:color="15803D" w:sz="4"/>
          <w:left w:val="single" w:color="15803D" w:sz="24"/>
          <w:bottom w:val="single" w:color="15803D" w:sz="4"/>
          <w:right w:val="single" w:color="15803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FF6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Before you begin presenting</w:t>
            </w:r>
          </w:p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Every click of "Try Demo" wipes and recreates the sample company fresh — so if you've explored it before, click it again right before your audience joins to guarantee a clean, predictable dataset. This is completely safe and affects no real company data.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11827"/>
          <w:sz w:val="24"/>
          <w:szCs w:val="24"/>
        </w:rPr>
        <w:t xml:space="preserve">Opening (1 minute)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1.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Launch the app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Either dev mode (npm run dev) or the installed packaged app — the demo experience is identical either way.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2.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Company List screen → click "Try Demo"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This is a genuine one-click action: no company setup, no password, no typing. It builds a brand-new company and logs straight into its dashboard — skipping the recovery-key and login screens entirely, since a demo has nothing to protect.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11827"/>
          <w:sz w:val="24"/>
          <w:szCs w:val="24"/>
        </w:rPr>
        <w:t xml:space="preserve">Part 1 — Show the data is real, not a mockup (3 minutes)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3.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Parties screen (under Sales or Purchase)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Point out the 5 seeded parties, including one flagged MSME (Udyam-registered) — a good moment to mention the Section 43B(h) payment-ageing logic that flag drives elsewhere in the app.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4.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Items screen (under Inventory)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8 items — 5 stockable (with real HSN codes like 9403 for the office chair, 1006 for rice) and 3 services. Point out that HSN codes drive GST rate resolution automatically — nobody typed a tax rate anywhere on these items.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5.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Sales Invoice register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Open one of the 4 seeded sales invoices. Show the computed CGST/SGST or IGST split (intra- vs. inter-state parties are both represented in the seed data) and the line-level HSN/rate resolution.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11827"/>
          <w:sz w:val="24"/>
          <w:szCs w:val="24"/>
        </w:rPr>
        <w:t xml:space="preserve">Part 2 — The GST engine, live (4 minutes)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6.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GST Returns screen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Run GSTR-1 and GSTR-3B for the demo period. This is the centrepiece of the whole compliance story: show that every number on screen came from the actual seeded invoices, not a hardcoded example.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Point out the B2B/B2C split and the HSN-wise summary (GSTR-1).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Point out the Table 4 ITC eligible/ineligible split and the Table 6.1 net-payable figure (GSTR-3B).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Click Export CSV — this is the artifact a real CA or the GST portal filing workflow would actually consume today (a deliberate, disclosed scope choice: a CA-facing reference report, not the portal's exact upload schema).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11827"/>
          <w:sz w:val="24"/>
          <w:szCs w:val="24"/>
        </w:rPr>
        <w:t xml:space="preserve">Part 3 — Books that actually balance (2 minutes)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7.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Trial Balance, then Profit &amp; Loss, then Balance Sheet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Show that Assets = Liabilities + Equity, including the seeded invoices' inventory and tax impact — this is the Blueprint's own Phase 1 exit criterion, still holding after every later phase's additions.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11827"/>
          <w:sz w:val="24"/>
          <w:szCs w:val="24"/>
        </w:rPr>
        <w:t xml:space="preserve">Part 4 — A few things worth calling out if there's time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Print Centre → print or preview one of the seeded invoices, and mention the drag-and-drop Template Designer if the audience is design/branding-focused.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Dashboard → "Verify Audit Trail" button — a real, live tamper-detection check added during Phase 11's security review; running it shows an actual pass over the demo company's own append-only audit log.</w:t>
      </w:r>
    </w:p>
    <w:tbl>
      <w:tblPr>
        <w:tblW w:type="pct" w:w="100%"/>
        <w:tblBorders>
          <w:top w:val="single" w:color="2563EB" w:sz="4"/>
          <w:left w:val="single" w:color="2563EB" w:sz="24"/>
          <w:bottom w:val="single" w:color="2563EB" w:sz="4"/>
          <w:right w:val="single" w:color="2563EB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FF6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0"/>
                <w:szCs w:val="20"/>
              </w:rPr>
              <w:t xml:space="preserve">Payroll — set expectations honestly</w:t>
            </w:r>
          </w:p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Demo Mode does NOT seed any employees or a payroll run — the seed data is deliberately invoice/ledger-focused. If payroll needs to be part of the demo, add one employee live under Payroll → Employees first (a two-minute detour) before processing a run, or be upfront that this particular demo path doesn't cover payroll out of the box.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11827"/>
          <w:sz w:val="24"/>
          <w:szCs w:val="24"/>
        </w:rPr>
        <w:t xml:space="preserve">Closing (1 minute)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Step 8.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Reset for the next audience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Click "Try Demo" again any time — it always produces a fresh, identical-shaped dataset, so the next walkthrough starts from the same clean state.</w:t>
      </w:r>
    </w:p>
    <w:p>
      <w:r>
        <w:br w:type="page"/>
      </w:r>
    </w:p>
    <w:p>
      <w:pPr>
        <w:pStyle w:val="Heading1"/>
        <w:pBdr>
          <w:bottom w:val="single" w:color="2563EB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563EB"/>
          <w:sz w:val="30"/>
          <w:szCs w:val="30"/>
        </w:rPr>
        <w:t xml:space="preserve">6. Quick Reference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4"/>
          <w:insideV w:val="single" w:color="E5E7EB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shd w:fill="2563E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964"/>
            <w:shd w:fill="2563E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 / Location</w:t>
            </w:r>
          </w:p>
        </w:tc>
      </w:tr>
      <w:tr>
        <w:tc>
          <w:tcPr>
            <w:tcW w:type="dxa" w:w="4062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Install all dependencies</w:t>
            </w:r>
          </w:p>
        </w:tc>
        <w:tc>
          <w:tcPr>
            <w:tcW w:type="dxa" w:w="4964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 install (repository root)</w:t>
            </w:r>
          </w:p>
        </w:tc>
      </w:tr>
      <w:tr>
        <w:tc>
          <w:tcPr>
            <w:tcW w:type="dxa" w:w="4062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Run in dev mode</w:t>
            </w:r>
          </w:p>
        </w:tc>
        <w:tc>
          <w:tcPr>
            <w:tcW w:type="dxa" w:w="4964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 run dev (inside apps/desktop-shell)</w:t>
            </w:r>
          </w:p>
        </w:tc>
      </w:tr>
      <w:tr>
        <w:tc>
          <w:tcPr>
            <w:tcW w:type="dxa" w:w="4062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Build everything (Nx)</w:t>
            </w:r>
          </w:p>
        </w:tc>
        <w:tc>
          <w:tcPr>
            <w:tcW w:type="dxa" w:w="4964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 run build (repository root)</w:t>
            </w:r>
          </w:p>
        </w:tc>
      </w:tr>
      <w:tr>
        <w:tc>
          <w:tcPr>
            <w:tcW w:type="dxa" w:w="4062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Run the test suite</w:t>
            </w:r>
          </w:p>
        </w:tc>
        <w:tc>
          <w:tcPr>
            <w:tcW w:type="dxa" w:w="4964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 run test (repository root)</w:t>
            </w:r>
          </w:p>
        </w:tc>
      </w:tr>
      <w:tr>
        <w:tc>
          <w:tcPr>
            <w:tcW w:type="dxa" w:w="4062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Package a Windows installer</w:t>
            </w:r>
          </w:p>
        </w:tc>
        <w:tc>
          <w:tcPr>
            <w:tcW w:type="dxa" w:w="4964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npm run package:win (inside apps/desktop-shell)</w:t>
            </w:r>
          </w:p>
        </w:tc>
      </w:tr>
      <w:tr>
        <w:tc>
          <w:tcPr>
            <w:tcW w:type="dxa" w:w="4062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Installer output location</w:t>
            </w:r>
          </w:p>
        </w:tc>
        <w:tc>
          <w:tcPr>
            <w:tcW w:type="dxa" w:w="4964"/>
            <w:shd w:fill="F9FA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apps/desktop-shell/dist/</w:t>
            </w:r>
          </w:p>
        </w:tc>
      </w:tr>
      <w:tr>
        <w:tc>
          <w:tcPr>
            <w:tcW w:type="dxa" w:w="4062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Start the live demo</w:t>
            </w:r>
          </w:p>
        </w:tc>
        <w:tc>
          <w:tcPr>
            <w:tcW w:type="dxa" w:w="4964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Launch the app → Company List screen → "Try Demo"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  <w:i/>
          <w:iCs/>
          <w:color w:val="6B7280"/>
          <w:sz w:val="21"/>
          <w:szCs w:val="21"/>
        </w:rPr>
        <w:t xml:space="preserve">If anything in this guide stops matching what you see on screen, the Phase Tracker's Session Handoff Log (docs/MHTS-ERP_Phase_Tracker.md, Section 4) has the most current, detailed account of exactly what changed and when.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4" w:space="6"/>
      </w:pBdr>
      <w:tabs>
        <w:tab w:val="right" w:pos="9026"/>
      </w:tabs>
      <w:spacing w:before="120"/>
    </w:pPr>
    <w:r>
      <w:rPr>
        <w:rFonts w:ascii="Calibri" w:cs="Calibri" w:eastAsia="Calibri" w:hAnsi="Calibri"/>
        <w:color w:val="6B7280"/>
        <w:sz w:val="14"/>
        <w:szCs w:val="14"/>
      </w:rPr>
      <w:t xml:space="preserve">MHTSdigiXR • KoodaldigiXS • Maanagarram Hi Tech Solutions • Confidential &amp; Proprietary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280"/>
        <w:sz w:val="14"/>
        <w:szCs w:val="14"/>
      </w:rPr>
      <w:t xml:space="preserve">Page </w:t>
    </w:r>
    <w:r>
      <w:rPr>
        <w:rFonts w:ascii="Calibri" w:cs="Calibri" w:eastAsia="Calibri" w:hAnsi="Calibri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4"/>
        <w:szCs w:val="14"/>
      </w:rPr>
      <w:t xml:space="preserve"> of </w:t>
    </w:r>
    <w:r>
      <w:rPr>
        <w:rFonts w:ascii="Calibri" w:cs="Calibri" w:eastAsia="Calibri" w:hAnsi="Calibri"/>
        <w:color w:val="6B72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r>
      <w:rPr>
        <w:rFonts w:ascii="Calibri" w:cs="Calibri" w:eastAsia="Calibri" w:hAnsi="Calibri"/>
        <w:color w:val="6B7280"/>
        <w:sz w:val="12"/>
        <w:szCs w:val="12"/>
      </w:rPr>
      <w:t xml:space="preserve">No 4056, 5th Main Road, Ayyapakam, Chennai, Tamil Nadu, India – 600077  |  Tel: 044-47740195  |  Mob: +91 7358105995  |  www.mhtsdigixr.com  |  GSTIN: 33AMFPR8672L1Z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6" w:space="6"/>
      </w:pBdr>
      <w:tabs>
        <w:tab w:val="right" w:pos="9026"/>
      </w:tabs>
      <w:spacing w:after="120"/>
    </w:pPr>
    <w:r>
      <w:drawing>
        <wp:inline distT="0" distB="0" distL="0" distR="0">
          <wp:extent cx="857250" cy="533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533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Business Accounting • GST • Inventory • Payroll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7d9cf5b5d8cbf6aadac7adbf1ea1f61655db8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aacb926cd5d89f8d706f1163b34e835acae1e6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2026-09-08T02:50:56.458Z</dcterms:created>
  <dcterms:modified xsi:type="dcterms:W3CDTF">2026-09-08T02:50:56.458Z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