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after="100" w:before="300"/>
        <w:jc w:val="center"/>
      </w:pPr>
      <w:r>
        <w:rPr>
          <w:rFonts w:ascii="Calibri" w:cs="Calibri" w:eastAsia="Calibri" w:hAnsi="Calibri"/>
          <w:b/>
          <w:bCs/>
          <w:color w:val="2563EB"/>
          <w:spacing w:val="20"/>
          <w:sz w:val="22"/>
          <w:szCs w:val="22"/>
        </w:rPr>
        <w:t xml:space="preserve">PROJECT RETROSPECTIVE</w:t>
      </w:r>
    </w:p>
    <w:p>
      <w:pPr>
        <w:spacing w:after="100" w:before="100"/>
        <w:jc w:val="center"/>
      </w:pPr>
      <w:r>
        <w:rPr>
          <w:rFonts w:ascii="Calibri" w:cs="Calibri" w:eastAsia="Calibri" w:hAnsi="Calibri"/>
          <w:b/>
          <w:bCs/>
          <w:color w:val="111827"/>
          <w:sz w:val="40"/>
          <w:szCs w:val="40"/>
        </w:rPr>
        <w:t xml:space="preserve">The MHTS ERP Journey</w:t>
      </w:r>
    </w:p>
    <w:p>
      <w:pPr>
        <w:spacing w:after="400" w:before="0"/>
        <w:jc w:val="center"/>
      </w:pPr>
      <w:r>
        <w:rPr>
          <w:rFonts w:ascii="Calibri" w:cs="Calibri" w:eastAsia="Calibri" w:hAnsi="Calibri"/>
          <w:color w:val="6B7280"/>
          <w:sz w:val="24"/>
          <w:szCs w:val="24"/>
        </w:rPr>
        <w:t xml:space="preserve">From a 94-Section Blueprint to a Working, Verified ERP</w:t>
      </w:r>
    </w:p>
    <w:p>
      <w:pPr>
        <w:spacing w:after="60"/>
        <w:jc w:val="center"/>
      </w:pPr>
      <w:r>
        <w:rPr>
          <w:rFonts w:ascii="Calibri" w:cs="Calibri" w:eastAsia="Calibri" w:hAnsi="Calibri"/>
          <w:b/>
          <w:bCs/>
          <w:color w:val="6B7280"/>
          <w:sz w:val="20"/>
          <w:szCs w:val="20"/>
        </w:rPr>
        <w:t xml:space="preserve">Product: </w:t>
      </w:r>
      <w:r>
        <w:rPr>
          <w:rFonts w:ascii="Calibri" w:cs="Calibri" w:eastAsia="Calibri" w:hAnsi="Calibri"/>
          <w:color w:val="111827"/>
          <w:sz w:val="20"/>
          <w:szCs w:val="20"/>
        </w:rPr>
        <w:t xml:space="preserve">MHTS ERP — Business Accounting, GST, Inventory &amp; Payroll</w:t>
      </w:r>
    </w:p>
    <w:p>
      <w:pPr>
        <w:spacing w:after="60"/>
        <w:jc w:val="center"/>
      </w:pPr>
      <w:r>
        <w:rPr>
          <w:rFonts w:ascii="Calibri" w:cs="Calibri" w:eastAsia="Calibri" w:hAnsi="Calibri"/>
          <w:b/>
          <w:bCs/>
          <w:color w:val="6B7280"/>
          <w:sz w:val="20"/>
          <w:szCs w:val="20"/>
        </w:rPr>
        <w:t xml:space="preserve">Built by: </w:t>
      </w:r>
      <w:r>
        <w:rPr>
          <w:rFonts w:ascii="Calibri" w:cs="Calibri" w:eastAsia="Calibri" w:hAnsi="Calibri"/>
          <w:color w:val="111827"/>
          <w:sz w:val="20"/>
          <w:szCs w:val="20"/>
        </w:rPr>
        <w:t xml:space="preserve">MHTSdigiXR</w:t>
      </w:r>
    </w:p>
    <w:p>
      <w:pPr>
        <w:spacing w:after="60"/>
        <w:jc w:val="center"/>
      </w:pPr>
      <w:r>
        <w:rPr>
          <w:rFonts w:ascii="Calibri" w:cs="Calibri" w:eastAsia="Calibri" w:hAnsi="Calibri"/>
          <w:b/>
          <w:bCs/>
          <w:color w:val="6B7280"/>
          <w:sz w:val="20"/>
          <w:szCs w:val="20"/>
        </w:rPr>
        <w:t xml:space="preserve">Covers: </w:t>
      </w:r>
      <w:r>
        <w:rPr>
          <w:rFonts w:ascii="Calibri" w:cs="Calibri" w:eastAsia="Calibri" w:hAnsi="Calibri"/>
          <w:color w:val="111827"/>
          <w:sz w:val="20"/>
          <w:szCs w:val="20"/>
        </w:rPr>
        <w:t xml:space="preserve">Phase 0 through Phase 11 (in progress)</w:t>
      </w:r>
    </w:p>
    <w:p>
      <w:pPr>
        <w:spacing w:after="60"/>
        <w:jc w:val="center"/>
      </w:pPr>
      <w:r>
        <w:rPr>
          <w:rFonts w:ascii="Calibri" w:cs="Calibri" w:eastAsia="Calibri" w:hAnsi="Calibri"/>
          <w:b/>
          <w:bCs/>
          <w:color w:val="6B7280"/>
          <w:sz w:val="20"/>
          <w:szCs w:val="20"/>
        </w:rPr>
        <w:t xml:space="preserve">Date prepared: </w:t>
      </w:r>
      <w:r>
        <w:rPr>
          <w:rFonts w:ascii="Calibri" w:cs="Calibri" w:eastAsia="Calibri" w:hAnsi="Calibri"/>
          <w:color w:val="111827"/>
          <w:sz w:val="20"/>
          <w:szCs w:val="20"/>
        </w:rPr>
        <w:t xml:space="preserve">2026-09-08</w:t>
      </w:r>
    </w:p>
    <w:p>
      <w:pPr>
        <w:spacing w:before="500"/>
        <w:jc w:val="center"/>
      </w:pPr>
      <w:r>
        <w:rPr>
          <w:rFonts w:ascii="Calibri" w:cs="Calibri" w:eastAsia="Calibri" w:hAnsi="Calibri"/>
          <w:i/>
          <w:iCs/>
          <w:color w:val="2563EB"/>
          <w:sz w:val="18"/>
          <w:szCs w:val="18"/>
        </w:rPr>
        <w:t xml:space="preserve">Voice Your Vision. Scale Your Impact.</w:t>
      </w:r>
    </w:p>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1. Where It Started</w:t>
      </w:r>
    </w:p>
    <w:p>
      <w:pPr>
        <w:spacing w:after="140"/>
      </w:pPr>
      <w:r>
        <w:rPr>
          <w:rFonts w:ascii="Calibri" w:cs="Calibri" w:eastAsia="Calibri" w:hAnsi="Calibri"/>
          <w:color w:val="111827"/>
          <w:sz w:val="21"/>
          <w:szCs w:val="21"/>
        </w:rPr>
        <w:t xml:space="preserve">MHTS ERP began as a single, deliberately ambitious document: a 94-section "Master Build Prompt" describing a full, TallyPrime-class Indian business ERP — accounting, GST, inventory, payroll, fixed assets, multi-branch, print, licensing, all of it — with nothing pre-trimmed. The brief behind it was unusual in one specific way: the same codebase had to work twice over, once as a commercial product MHTSdigiXR could sell, and once as a real project-based curriculum KoodaldigiXS could teach from. That dual purpose is why the architecture ended up as strict as it did — code a trainee can be safely handed a slice of is also code a paying customer can trust.</w:t>
      </w:r>
    </w:p>
    <w:p>
      <w:pPr>
        <w:spacing w:after="140"/>
      </w:pPr>
      <w:r>
        <w:rPr>
          <w:rFonts w:ascii="Calibri" w:cs="Calibri" w:eastAsia="Calibri" w:hAnsi="Calibri"/>
          <w:color w:val="111827"/>
          <w:sz w:val="21"/>
          <w:szCs w:val="21"/>
        </w:rPr>
        <w:t xml:space="preserve">Before any code was written, an architecture review surfaced a problem that shaped everything downstream: India's GST slab structure had just changed materially (the September 2025 GST 2.0 reform) and the Labour Codes' unified wage definition changed again two months later (November 2025). A build that hardcoded either would be obsolete before its first customer went live. That single observation produced the project's one non-negotiable rule: GST rates, HSN/SAC mappings, and every payroll statutory formula would live as versioned, date-effective rows in the database, evaluated by a shared rules engine — never a constant, an enum, or a switch-case. Nearly everything else in the Blueprint follows from protecting that rule.</w:t>
      </w:r>
    </w:p>
    <w:p>
      <w:pPr>
        <w:pStyle w:val="Heading1"/>
        <w:pBdr>
          <w:bottom w:val="single" w:color="2563EB" w:sz="4" w:space="4"/>
        </w:pBdr>
        <w:spacing w:after="160" w:before="360"/>
      </w:pPr>
      <w:r>
        <w:rPr>
          <w:rFonts w:ascii="Calibri" w:cs="Calibri" w:eastAsia="Calibri" w:hAnsi="Calibri"/>
          <w:b/>
          <w:bCs/>
          <w:color w:val="2563EB"/>
          <w:sz w:val="30"/>
          <w:szCs w:val="30"/>
        </w:rPr>
        <w:t xml:space="preserve">2. What Was Estimated</w:t>
      </w:r>
    </w:p>
    <w:p>
      <w:pPr>
        <w:spacing w:after="140"/>
      </w:pPr>
      <w:r>
        <w:rPr>
          <w:rFonts w:ascii="Calibri" w:cs="Calibri" w:eastAsia="Calibri" w:hAnsi="Calibri"/>
          <w:color w:val="111827"/>
          <w:sz w:val="21"/>
          <w:szCs w:val="21"/>
        </w:rPr>
        <w:t xml:space="preserve">The original Blueprint scoped 11 phases against a baseline team of one architect/lead, 2–4 full-stack engineers, a part-time CA/compliance advisor retained throughout (not just at sign-off), and QA from Phase 2 onward:</w:t>
      </w:r>
    </w:p>
    <w:tbl>
      <w:tblPr>
        <w:tblW w:type="dxa" w:w="9026"/>
        <w:tblBorders>
          <w:top w:val="single" w:color="D1D5DB" w:sz="4"/>
          <w:left w:val="single" w:color="D1D5DB" w:sz="4"/>
          <w:bottom w:val="single" w:color="D1D5DB" w:sz="4"/>
          <w:right w:val="single" w:color="D1D5DB" w:sz="4"/>
          <w:insideH w:val="single" w:color="E5E7EB" w:sz="4"/>
          <w:insideV w:val="single" w:color="E5E7EB" w:sz="4"/>
        </w:tblBorders>
      </w:tblPr>
      <w:tblGrid>
        <w:gridCol w:w="3069"/>
        <w:gridCol w:w="1805"/>
        <w:gridCol w:w="4152"/>
      </w:tblGrid>
      <w:tr>
        <w:trPr>
          <w:tblHeader/>
        </w:trPr>
        <w:tc>
          <w:tcPr>
            <w:tcW w:type="dxa" w:w="3069"/>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Phase</w:t>
            </w:r>
          </w:p>
        </w:tc>
        <w:tc>
          <w:tcPr>
            <w:tcW w:type="dxa" w:w="1805"/>
            <w:shd w:fill="2563EB"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Estimated duration</w:t>
            </w:r>
          </w:p>
        </w:tc>
        <w:tc>
          <w:tcPr>
            <w:tcW w:type="dxa" w:w="4152"/>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Exit criterion</w:t>
            </w:r>
          </w:p>
        </w:tc>
      </w:tr>
      <w:tr>
        <w:tc>
          <w:tcPr>
            <w:tcW w:type="dxa" w:w="306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0. Foundation</w:t>
            </w:r>
          </w:p>
        </w:tc>
        <w:tc>
          <w:tcPr>
            <w:tcW w:type="dxa" w:w="180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6–8 wks</w:t>
            </w:r>
          </w:p>
        </w:tc>
        <w:tc>
          <w:tcPr>
            <w:tcW w:type="dxa" w:w="415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Multi-company creation works; license gating works</w:t>
            </w:r>
          </w:p>
        </w:tc>
      </w:tr>
      <w:tr>
        <w:tc>
          <w:tcPr>
            <w:tcW w:type="dxa" w:w="306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1. Accounting Core</w:t>
            </w:r>
          </w:p>
        </w:tc>
        <w:tc>
          <w:tcPr>
            <w:tcW w:type="dxa" w:w="180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8–10 wks</w:t>
            </w:r>
          </w:p>
        </w:tc>
        <w:tc>
          <w:tcPr>
            <w:tcW w:type="dxa" w:w="415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Assets = Liabilities + Equity enforced; unbalanced entries impossible</w:t>
            </w:r>
          </w:p>
        </w:tc>
      </w:tr>
      <w:tr>
        <w:tc>
          <w:tcPr>
            <w:tcW w:type="dxa" w:w="306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2. Sales + Purchase</w:t>
            </w:r>
          </w:p>
        </w:tc>
        <w:tc>
          <w:tcPr>
            <w:tcW w:type="dxa" w:w="180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6–8 wks</w:t>
            </w:r>
          </w:p>
        </w:tc>
        <w:tc>
          <w:tcPr>
            <w:tcW w:type="dxa" w:w="415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Full invoice-to-ledger-to-report chain, atomic</w:t>
            </w:r>
          </w:p>
        </w:tc>
      </w:tr>
      <w:tr>
        <w:tc>
          <w:tcPr>
            <w:tcW w:type="dxa" w:w="306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3. Inventory</w:t>
            </w:r>
          </w:p>
        </w:tc>
        <w:tc>
          <w:tcPr>
            <w:tcW w:type="dxa" w:w="180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6–8 wks</w:t>
            </w:r>
          </w:p>
        </w:tc>
        <w:tc>
          <w:tcPr>
            <w:tcW w:type="dxa" w:w="415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Stock reports reconcile to accounting COGS</w:t>
            </w:r>
          </w:p>
        </w:tc>
      </w:tr>
      <w:tr>
        <w:tc>
          <w:tcPr>
            <w:tcW w:type="dxa" w:w="306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4. GST Engine</w:t>
            </w:r>
          </w:p>
        </w:tc>
        <w:tc>
          <w:tcPr>
            <w:tcW w:type="dxa" w:w="180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6–8 wks</w:t>
            </w:r>
          </w:p>
        </w:tc>
        <w:tc>
          <w:tcPr>
            <w:tcW w:type="dxa" w:w="415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Rate-change simulation: swap a rate via config, zero code changes</w:t>
            </w:r>
          </w:p>
        </w:tc>
      </w:tr>
      <w:tr>
        <w:tc>
          <w:tcPr>
            <w:tcW w:type="dxa" w:w="306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5. Banking</w:t>
            </w:r>
          </w:p>
        </w:tc>
        <w:tc>
          <w:tcPr>
            <w:tcW w:type="dxa" w:w="180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3–4 wks</w:t>
            </w:r>
          </w:p>
        </w:tc>
        <w:tc>
          <w:tcPr>
            <w:tcW w:type="dxa" w:w="415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Bank reconciliation matches ledger to the paisa</w:t>
            </w:r>
          </w:p>
        </w:tc>
      </w:tr>
      <w:tr>
        <w:tc>
          <w:tcPr>
            <w:tcW w:type="dxa" w:w="306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6. Expenses, Travel, Documents</w:t>
            </w:r>
          </w:p>
        </w:tc>
        <w:tc>
          <w:tcPr>
            <w:tcW w:type="dxa" w:w="180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5–6 wks</w:t>
            </w:r>
          </w:p>
        </w:tc>
        <w:tc>
          <w:tcPr>
            <w:tcW w:type="dxa" w:w="415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Every transaction type can carry an attached document</w:t>
            </w:r>
          </w:p>
        </w:tc>
      </w:tr>
      <w:tr>
        <w:tc>
          <w:tcPr>
            <w:tcW w:type="dxa" w:w="306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7. Payroll</w:t>
            </w:r>
          </w:p>
        </w:tc>
        <w:tc>
          <w:tcPr>
            <w:tcW w:type="dxa" w:w="180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8–10 wks</w:t>
            </w:r>
          </w:p>
        </w:tc>
        <w:tc>
          <w:tcPr>
            <w:tcW w:type="dxa" w:w="415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Rule-set swap test for wage-definition changes</w:t>
            </w:r>
          </w:p>
        </w:tc>
      </w:tr>
      <w:tr>
        <w:tc>
          <w:tcPr>
            <w:tcW w:type="dxa" w:w="306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8. Advanced ERP</w:t>
            </w:r>
          </w:p>
        </w:tc>
        <w:tc>
          <w:tcPr>
            <w:tcW w:type="dxa" w:w="180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8–10 wks</w:t>
            </w:r>
          </w:p>
        </w:tc>
        <w:tc>
          <w:tcPr>
            <w:tcW w:type="dxa" w:w="415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Consolidated multi-branch reports tie out</w:t>
            </w:r>
          </w:p>
        </w:tc>
      </w:tr>
      <w:tr>
        <w:tc>
          <w:tcPr>
            <w:tcW w:type="dxa" w:w="306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9. Print + Templates</w:t>
            </w:r>
          </w:p>
        </w:tc>
        <w:tc>
          <w:tcPr>
            <w:tcW w:type="dxa" w:w="180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4–5 wks</w:t>
            </w:r>
          </w:p>
        </w:tc>
        <w:tc>
          <w:tcPr>
            <w:tcW w:type="dxa" w:w="415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Invoice/payslip templates fully re-brandable without code</w:t>
            </w:r>
          </w:p>
        </w:tc>
      </w:tr>
      <w:tr>
        <w:tc>
          <w:tcPr>
            <w:tcW w:type="dxa" w:w="306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10. Commercialization</w:t>
            </w:r>
          </w:p>
        </w:tc>
        <w:tc>
          <w:tcPr>
            <w:tcW w:type="dxa" w:w="180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5–6 wks</w:t>
            </w:r>
          </w:p>
        </w:tc>
        <w:tc>
          <w:tcPr>
            <w:tcW w:type="dxa" w:w="415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Clean install → first invoice in under 15 minutes</w:t>
            </w:r>
          </w:p>
        </w:tc>
      </w:tr>
      <w:tr>
        <w:tc>
          <w:tcPr>
            <w:tcW w:type="dxa" w:w="306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11. UAT &amp; Compliance</w:t>
            </w:r>
          </w:p>
        </w:tc>
        <w:tc>
          <w:tcPr>
            <w:tcW w:type="dxa" w:w="180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4–6 wks</w:t>
            </w:r>
          </w:p>
        </w:tc>
        <w:tc>
          <w:tcPr>
            <w:tcW w:type="dxa" w:w="415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CA-reviewed test cases pass; ready for first paying customer</w:t>
            </w:r>
          </w:p>
        </w:tc>
      </w:tr>
    </w:tbl>
    <w:p>
      <w:pPr>
        <w:spacing w:after="120"/>
      </w:pPr>
    </w:p>
    <w:tbl>
      <w:tblPr>
        <w:tblW w:type="pct" w:w="100%"/>
        <w:tblBorders>
          <w:top w:val="single" w:color="2563EB" w:sz="4"/>
          <w:left w:val="single" w:color="2563EB" w:sz="24"/>
          <w:bottom w:val="single" w:color="2563EB" w:sz="4"/>
          <w:right w:val="single" w:color="2563EB"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2563EB"/>
                <w:sz w:val="20"/>
                <w:szCs w:val="20"/>
              </w:rPr>
              <w:t xml:space="preserve">The Blueprint's own words</w:t>
            </w:r>
          </w:p>
          <w:p>
            <w:r>
              <w:rPr>
                <w:rFonts w:ascii="Calibri" w:cs="Calibri" w:eastAsia="Calibri" w:hAnsi="Calibri"/>
                <w:color w:val="111827"/>
                <w:sz w:val="20"/>
                <w:szCs w:val="20"/>
              </w:rPr>
              <w:t xml:space="preserve">"Total: ~14–18 months for the complete spec with the team above. This is a realistic estimate, not a pessimistic one — every module above touches financial correctness, which is not compressible the way a marketing site is."</w:t>
            </w:r>
          </w:p>
        </w:tc>
      </w:tr>
    </w:tbl>
    <w:p>
      <w:pPr>
        <w:pStyle w:val="Heading1"/>
        <w:pBdr>
          <w:bottom w:val="single" w:color="2563EB" w:sz="4" w:space="4"/>
        </w:pBdr>
        <w:spacing w:after="160" w:before="360"/>
      </w:pPr>
      <w:r>
        <w:rPr>
          <w:rFonts w:ascii="Calibri" w:cs="Calibri" w:eastAsia="Calibri" w:hAnsi="Calibri"/>
          <w:b/>
          <w:bCs/>
          <w:color w:val="2563EB"/>
          <w:sz w:val="30"/>
          <w:szCs w:val="30"/>
        </w:rPr>
        <w:t xml:space="preserve">3. What Actually Happened</w:t>
      </w:r>
    </w:p>
    <w:p>
      <w:pPr>
        <w:spacing w:after="140"/>
      </w:pPr>
      <w:r>
        <w:rPr>
          <w:rFonts w:ascii="Calibri" w:cs="Calibri" w:eastAsia="Calibri" w:hAnsi="Calibri"/>
          <w:color w:val="111827"/>
          <w:sz w:val="21"/>
          <w:szCs w:val="21"/>
        </w:rPr>
        <w:t xml:space="preserve">All 11 phases above are now built, with Phase 11 the one still genuinely in progress. The work ran as a continuous series of AI-assisted development sessions between 2026-09-05 and 2026-09-08 — every phase verified end-to-end against real encrypted databases at the end of its own session, never left as "should work." The scope was not reduced anywhere; several phases (Sales+Purchase, Payroll, Advanced ERP) absorbed extra ground the Blueprint had scheduled as a stretch or a later increment, built in the same pass once the underlying mechanism already existed.</w:t>
      </w:r>
    </w:p>
    <w:p>
      <w:pPr>
        <w:spacing w:after="140"/>
      </w:pPr>
      <w:r>
        <w:rPr>
          <w:rFonts w:ascii="Calibri" w:cs="Calibri" w:eastAsia="Calibri" w:hAnsi="Calibri"/>
          <w:color w:val="111827"/>
          <w:sz w:val="21"/>
          <w:szCs w:val="21"/>
        </w:rPr>
        <w:t xml:space="preserve">The rest of this section walks the arc phase by phase — not a repeat of the full engineering changelog (that lives in the Phase Tracker for anyone who needs the detail), but the shape of what each phase actually added and why it mattered.</w:t>
      </w:r>
    </w:p>
    <w:p>
      <w:pPr>
        <w:pStyle w:val="Heading2"/>
        <w:spacing w:after="120" w:before="260"/>
      </w:pPr>
      <w:r>
        <w:rPr>
          <w:rFonts w:ascii="Calibri" w:cs="Calibri" w:eastAsia="Calibri" w:hAnsi="Calibri"/>
          <w:b/>
          <w:bCs/>
          <w:color w:val="111827"/>
          <w:sz w:val="24"/>
          <w:szCs w:val="24"/>
        </w:rPr>
        <w:t xml:space="preserve">Phase 0 — Foundation: the decisions everything else depends on</w:t>
      </w:r>
    </w:p>
    <w:p>
      <w:pPr>
        <w:spacing w:after="140"/>
      </w:pPr>
      <w:r>
        <w:rPr>
          <w:rFonts w:ascii="Calibri" w:cs="Calibri" w:eastAsia="Calibri" w:hAnsi="Calibri"/>
          <w:color w:val="111827"/>
          <w:sz w:val="21"/>
          <w:szCs w:val="21"/>
        </w:rPr>
        <w:t xml:space="preserve">This is where the project's hardest calls got made, several of them contradicting the original plan the moment real testing disagreed with it. Prisma, the originally planned ORM, turned out structurally unable to open a SQLCipher-encrypted file — its better-sqlite3 adapter never applies the encryption key before its first query. Kysely replaced it within the same phase, verified against real encrypted files before the decision was called final. A two-tier database design followed directly from Rule #3's per-company isolation: one System DB for company registry, logins, and shared rate tables; one encrypted Company DB per company for everything business-specific. Password recovery got a real answer for the common case the original design missed — a solo proprietor with no second admin to ask — via a one-time, shown-once recovery key with an explicit, disclosed trade-off: lose both the password and the key, and the data is unrecoverable by design, because any backdoor that could recover it would be exploitable by anyone with filesystem access.</w:t>
      </w:r>
    </w:p>
    <w:p>
      <w:pPr>
        <w:pStyle w:val="Heading2"/>
        <w:spacing w:after="120" w:before="260"/>
      </w:pPr>
      <w:r>
        <w:rPr>
          <w:rFonts w:ascii="Calibri" w:cs="Calibri" w:eastAsia="Calibri" w:hAnsi="Calibri"/>
          <w:b/>
          <w:bCs/>
          <w:color w:val="111827"/>
          <w:sz w:val="24"/>
          <w:szCs w:val="24"/>
        </w:rPr>
        <w:t xml:space="preserve">Phase 1 — Accounting Core: the ledger that everything else posts through</w:t>
      </w:r>
    </w:p>
    <w:p>
      <w:pPr>
        <w:spacing w:after="140"/>
      </w:pPr>
      <w:r>
        <w:rPr>
          <w:rFonts w:ascii="Calibri" w:cs="Calibri" w:eastAsia="Calibri" w:hAnsi="Calibri"/>
          <w:color w:val="111827"/>
          <w:sz w:val="21"/>
          <w:szCs w:val="21"/>
        </w:rPr>
        <w:t xml:space="preserve">Chart of accounts, double-entry vouchers, and Trial Balance/P&amp;L/Balance Sheet, all built on one shared balance-computation helper so the three reports could never quietly disagree with each other. Every amount is stored as an integer in paise, decided once before any ledger data existed, closing off an entire category of floating-point rounding bugs before it could start. Voucher cancellation became an auto-generated reversal rather than an edit or delete — the same append-only discipline the audit trail already required, applied to the ledger itself.</w:t>
      </w:r>
    </w:p>
    <w:p>
      <w:pPr>
        <w:pStyle w:val="Heading2"/>
        <w:spacing w:after="120" w:before="260"/>
      </w:pPr>
      <w:r>
        <w:rPr>
          <w:rFonts w:ascii="Calibri" w:cs="Calibri" w:eastAsia="Calibri" w:hAnsi="Calibri"/>
          <w:b/>
          <w:bCs/>
          <w:color w:val="111827"/>
          <w:sz w:val="24"/>
          <w:szCs w:val="24"/>
        </w:rPr>
        <w:t xml:space="preserve">Phases 2–3 — Sales, Purchase, and Inventory: the first real transactions</w:t>
      </w:r>
    </w:p>
    <w:p>
      <w:pPr>
        <w:spacing w:after="140"/>
      </w:pPr>
      <w:r>
        <w:rPr>
          <w:rFonts w:ascii="Calibri" w:cs="Calibri" w:eastAsia="Calibri" w:hAnsi="Calibri"/>
          <w:color w:val="111827"/>
          <w:sz w:val="21"/>
          <w:szCs w:val="21"/>
        </w:rPr>
        <w:t xml:space="preserve">Customers and suppliers share one party table rather than two, since a real counterparty is very often both. Vendor TDS and the Section 43B(h) MSME due-date flag — originally scoped for later — landed in the same pass as the core invoice flow, because the threshold-aware TDS math needed no more infrastructure than the invoice-posting code already had. Inventory added FIFO and weighted-average costing with a same-transaction, self-balancing cost-of-goods-sold posting, so a sale's revenue and its cost always commit or fail together.</w:t>
      </w:r>
    </w:p>
    <w:p>
      <w:pPr>
        <w:pStyle w:val="Heading2"/>
        <w:spacing w:after="120" w:before="260"/>
      </w:pPr>
      <w:r>
        <w:rPr>
          <w:rFonts w:ascii="Calibri" w:cs="Calibri" w:eastAsia="Calibri" w:hAnsi="Calibri"/>
          <w:b/>
          <w:bCs/>
          <w:color w:val="111827"/>
          <w:sz w:val="24"/>
          <w:szCs w:val="24"/>
        </w:rPr>
        <w:t xml:space="preserve">Phase 4 — GST Engine: the rules-as-data rule proves itself</w:t>
      </w:r>
    </w:p>
    <w:p>
      <w:pPr>
        <w:spacing w:after="140"/>
      </w:pPr>
      <w:r>
        <w:rPr>
          <w:rFonts w:ascii="Calibri" w:cs="Calibri" w:eastAsia="Calibri" w:hAnsi="Calibri"/>
          <w:color w:val="111827"/>
          <w:sz w:val="21"/>
          <w:szCs w:val="21"/>
        </w:rPr>
        <w:t xml:space="preserve">The versioned rate/HSN-SAC engine, place-of-supply CGST/SGST/IGST splitting, ITC eligibility, reverse charge, composition scheme, and all four GSTR-1/3B/9/9C prep reports. The Blueprint's literal exit criterion — swap a rate via configuration, zero code changes — was verified directly, not assumed, and became the template every later rate-driven engine (vendor TDS, payroll statutory deductions, fixed-asset depreciation, FX rates) was built to satisfy the same way.</w:t>
      </w:r>
    </w:p>
    <w:p>
      <w:pPr>
        <w:pStyle w:val="Heading2"/>
        <w:spacing w:after="120" w:before="260"/>
      </w:pPr>
      <w:r>
        <w:rPr>
          <w:rFonts w:ascii="Calibri" w:cs="Calibri" w:eastAsia="Calibri" w:hAnsi="Calibri"/>
          <w:b/>
          <w:bCs/>
          <w:color w:val="111827"/>
          <w:sz w:val="24"/>
          <w:szCs w:val="24"/>
        </w:rPr>
        <w:t xml:space="preserve">Phase 5–6 — Banking, Expenses, Documents: the operational layer</w:t>
      </w:r>
    </w:p>
    <w:p>
      <w:pPr>
        <w:spacing w:after="140"/>
      </w:pPr>
      <w:r>
        <w:rPr>
          <w:rFonts w:ascii="Calibri" w:cs="Calibri" w:eastAsia="Calibri" w:hAnsi="Calibri"/>
          <w:color w:val="111827"/>
          <w:sz w:val="21"/>
          <w:szCs w:val="21"/>
        </w:rPr>
        <w:t xml:space="preserve">Bank reconciliation, a real CSV bank-statement importer with paisa-exact auto-matching, an expense-claim lifecycle mirroring the sales/purchase order pattern, and generic document attachment stored as encrypted blobs inside the same company database — so backup and restore needed zero new logic to cover it.</w:t>
      </w:r>
    </w:p>
    <w:p>
      <w:pPr>
        <w:pStyle w:val="Heading2"/>
        <w:spacing w:after="120" w:before="260"/>
      </w:pPr>
      <w:r>
        <w:rPr>
          <w:rFonts w:ascii="Calibri" w:cs="Calibri" w:eastAsia="Calibri" w:hAnsi="Calibri"/>
          <w:b/>
          <w:bCs/>
          <w:color w:val="111827"/>
          <w:sz w:val="24"/>
          <w:szCs w:val="24"/>
        </w:rPr>
        <w:t xml:space="preserve">Phase 7 — Payroll: the second rules-as-data engine, done in one pass</w:t>
      </w:r>
    </w:p>
    <w:p>
      <w:pPr>
        <w:spacing w:after="140"/>
      </w:pPr>
      <w:r>
        <w:rPr>
          <w:rFonts w:ascii="Calibri" w:cs="Calibri" w:eastAsia="Calibri" w:hAnsi="Calibri"/>
          <w:color w:val="111827"/>
          <w:sz w:val="21"/>
          <w:szCs w:val="21"/>
        </w:rPr>
        <w:t xml:space="preserve">CTC and salary-structure management, the Labour Code's wage-definition cap, PF/ESI/PT/salary-TDS all resolved through the same rule-set mechanism GST already used, headcount-driven scheme applicability (including a "sticky" gratuity rule that survives a later headcount dip), and both a formula-based gratuity accrual and a full separation-settlement calculator. Verification caught and fixed a real deadlock bug in the gratuity code before it shipped — a transaction calling back into its own outer database handle, silently hanging Kysely's connection queue with no error at all.</w:t>
      </w:r>
    </w:p>
    <w:p>
      <w:pPr>
        <w:pStyle w:val="Heading2"/>
        <w:spacing w:after="120" w:before="260"/>
      </w:pPr>
      <w:r>
        <w:rPr>
          <w:rFonts w:ascii="Calibri" w:cs="Calibri" w:eastAsia="Calibri" w:hAnsi="Calibri"/>
          <w:b/>
          <w:bCs/>
          <w:color w:val="111827"/>
          <w:sz w:val="24"/>
          <w:szCs w:val="24"/>
        </w:rPr>
        <w:t xml:space="preserve">Phase 8 — Advanced ERP: the largest single phase, split into three</w:t>
      </w:r>
    </w:p>
    <w:p>
      <w:pPr>
        <w:spacing w:after="140"/>
      </w:pPr>
      <w:r>
        <w:rPr>
          <w:rFonts w:ascii="Calibri" w:cs="Calibri" w:eastAsia="Calibri" w:hAnsi="Calibri"/>
          <w:color w:val="111827"/>
          <w:sz w:val="21"/>
          <w:szCs w:val="21"/>
        </w:rPr>
        <w:t xml:space="preserve">Fixed assets got two genuinely independent depreciation books (Companies Act Schedule II and Income Tax Act WDV block) for the same asset, cost centres, and budgets. Multi-currency added a real inter-branch current-account mechanism and FX support across every voucher type, not just invoices, with two verification-caught bugs fixed before commit (a settlement voucher losing its FX tag, and a revaluation run re-applying its own prior adjustment). Manufacturing closed the phase with core bill-of-materials and a single consume/produce journal.</w:t>
      </w:r>
    </w:p>
    <w:p>
      <w:pPr>
        <w:pStyle w:val="Heading2"/>
        <w:spacing w:after="120" w:before="260"/>
      </w:pPr>
      <w:r>
        <w:rPr>
          <w:rFonts w:ascii="Calibri" w:cs="Calibri" w:eastAsia="Calibri" w:hAnsi="Calibri"/>
          <w:b/>
          <w:bCs/>
          <w:color w:val="111827"/>
          <w:sz w:val="24"/>
          <w:szCs w:val="24"/>
        </w:rPr>
        <w:t xml:space="preserve">Phase 9 — Print + Templates: from hardcoded invoices to a real design tool</w:t>
      </w:r>
    </w:p>
    <w:p>
      <w:pPr>
        <w:spacing w:after="140"/>
      </w:pPr>
      <w:r>
        <w:rPr>
          <w:rFonts w:ascii="Calibri" w:cs="Calibri" w:eastAsia="Calibri" w:hAnsi="Calibri"/>
          <w:color w:val="111827"/>
          <w:sz w:val="21"/>
          <w:szCs w:val="21"/>
        </w:rPr>
        <w:t xml:space="preserve">Started with config-based rebranding and native Electron PDF/print (deliberately no new dependency, since Electron already embeds Chromium), extended to every document type plus a unified Print Centre, and finished with a hand-rolled drag-and-drop template designer — no charting or canvas library existed in the codebase, so the position/resize interaction was built directly on plain React pointer events.</w:t>
      </w:r>
    </w:p>
    <w:p>
      <w:pPr>
        <w:pStyle w:val="Heading2"/>
        <w:spacing w:after="120" w:before="260"/>
      </w:pPr>
      <w:r>
        <w:rPr>
          <w:rFonts w:ascii="Calibri" w:cs="Calibri" w:eastAsia="Calibri" w:hAnsi="Calibri"/>
          <w:b/>
          <w:bCs/>
          <w:color w:val="111827"/>
          <w:sz w:val="24"/>
          <w:szCs w:val="24"/>
        </w:rPr>
        <w:t xml:space="preserve">Phase 10 — Commercialization: making it installable and demoable</w:t>
      </w:r>
    </w:p>
    <w:p>
      <w:pPr>
        <w:spacing w:after="140"/>
      </w:pPr>
      <w:r>
        <w:rPr>
          <w:rFonts w:ascii="Calibri" w:cs="Calibri" w:eastAsia="Calibri" w:hAnsi="Calibri"/>
          <w:color w:val="111827"/>
          <w:sz w:val="21"/>
          <w:szCs w:val="21"/>
        </w:rPr>
        <w:t xml:space="preserve">A real Windows NSIS installer, auto-update wiring, a guided first-run setup wizard, and a one-click Demo Mode company — real seeded data posted through the exact same code path a genuine user's click would take, not a parallel mock. This phase also caught and fixed a genuine packaged-build crash a user reported firsthand (a missing workspace package in the bundler's auto-discovery), corrected on the same day rather than left for a later pass.</w:t>
      </w:r>
    </w:p>
    <w:p>
      <w:pPr>
        <w:pStyle w:val="Heading2"/>
        <w:spacing w:after="120" w:before="260"/>
      </w:pPr>
      <w:r>
        <w:rPr>
          <w:rFonts w:ascii="Calibri" w:cs="Calibri" w:eastAsia="Calibri" w:hAnsi="Calibri"/>
          <w:b/>
          <w:bCs/>
          <w:color w:val="111827"/>
          <w:sz w:val="24"/>
          <w:szCs w:val="24"/>
        </w:rPr>
        <w:t xml:space="preserve">Phase 11 — UAT, Security &amp; Compliance: where the project stands today</w:t>
      </w:r>
    </w:p>
    <w:p>
      <w:pPr>
        <w:spacing w:after="140"/>
      </w:pPr>
      <w:r>
        <w:rPr>
          <w:rFonts w:ascii="Calibri" w:cs="Calibri" w:eastAsia="Calibri" w:hAnsi="Calibri"/>
          <w:color w:val="111827"/>
          <w:sz w:val="21"/>
          <w:szCs w:val="21"/>
        </w:rPr>
        <w:t xml:space="preserve">In progress. Built so far: a real, persisted automated test suite (179 tests across 27 files, where zero test infrastructure existed through Phase 10), a code-level security review that found and closed a genuine audit-trail tamper-detection gap, and a CA compliance pack compiling every GST/payroll test scenario into one sign-off-ready document. What remains is deliberately not fakeable from inside a development sandbox: a live GUI click-through on a real desktop, a licensed third-party penetration test, and an actual Chartered Accountant's review and signature. This session's own work — the adversarial internal reviews and the finalized documents in this pack — exists specifically to make those three human steps as productive as possible when they happen.</w:t>
      </w:r>
    </w:p>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4. The Architecture Bet, in Retrospect</w:t>
      </w:r>
    </w:p>
    <w:p>
      <w:pPr>
        <w:spacing w:after="140"/>
      </w:pPr>
      <w:r>
        <w:rPr>
          <w:rFonts w:ascii="Calibri" w:cs="Calibri" w:eastAsia="Calibri" w:hAnsi="Calibri"/>
          <w:color w:val="111827"/>
          <w:sz w:val="21"/>
          <w:szCs w:val="21"/>
        </w:rPr>
        <w:t xml:space="preserve">Three decisions made in the first few days are the ones the rest of the project leaned on hardest, and all three held up without needing to be revisited:</w:t>
      </w:r>
    </w:p>
    <w:p>
      <w:pPr>
        <w:pStyle w:val="ListParagraph"/>
        <w:numPr>
          <w:ilvl w:val="0"/>
          <w:numId w:val="1"/>
        </w:numPr>
        <w:spacing w:after="80"/>
      </w:pPr>
      <w:r>
        <w:rPr>
          <w:rFonts w:ascii="Calibri" w:cs="Calibri" w:eastAsia="Calibri" w:hAnsi="Calibri"/>
          <w:color w:val="111827"/>
          <w:sz w:val="21"/>
          <w:szCs w:val="21"/>
        </w:rPr>
        <w:t xml:space="preserve">Business logic lives in pure TypeScript packages with zero Electron dependency. Every GST, payroll, inventory, and accounting computation in this codebase can be — and now is — unit tested with a real encrypted temp database and no UI in the loop at all.</w:t>
      </w:r>
    </w:p>
    <w:p>
      <w:pPr>
        <w:pStyle w:val="ListParagraph"/>
        <w:numPr>
          <w:ilvl w:val="0"/>
          <w:numId w:val="1"/>
        </w:numPr>
        <w:spacing w:after="80"/>
      </w:pPr>
      <w:r>
        <w:rPr>
          <w:rFonts w:ascii="Calibri" w:cs="Calibri" w:eastAsia="Calibri" w:hAnsi="Calibri"/>
          <w:color w:val="111827"/>
          <w:sz w:val="21"/>
          <w:szCs w:val="21"/>
        </w:rPr>
        <w:t xml:space="preserve">Rates and statutory formulas are data, not code. Nine separate rate-driven engines (GST, vendor TDS, PF, ESI, PT, salary TDS, gratuity eligibility, fixed-asset depreciation, FX rates) all resolve through the one rules-resolution service built in Phase 0/2, and every one of them passed the same "swap the rate, zero code change" test.</w:t>
      </w:r>
    </w:p>
    <w:p>
      <w:pPr>
        <w:pStyle w:val="ListParagraph"/>
        <w:numPr>
          <w:ilvl w:val="0"/>
          <w:numId w:val="1"/>
        </w:numPr>
        <w:spacing w:after="80"/>
      </w:pPr>
      <w:r>
        <w:rPr>
          <w:rFonts w:ascii="Calibri" w:cs="Calibri" w:eastAsia="Calibri" w:hAnsi="Calibri"/>
          <w:color w:val="111827"/>
          <w:sz w:val="21"/>
          <w:szCs w:val="21"/>
        </w:rPr>
        <w:t xml:space="preserve">Each company's data lives in its own encrypted file. This made the encrypted temp-database test fixtures Phase 11 needed possible in the first place — the same mechanism that isolates a customer's data isolates a test's data.</w:t>
      </w:r>
    </w:p>
    <w:p>
      <w:pPr>
        <w:pStyle w:val="Heading1"/>
        <w:pBdr>
          <w:bottom w:val="single" w:color="2563EB" w:sz="4" w:space="4"/>
        </w:pBdr>
        <w:spacing w:after="160" w:before="360"/>
      </w:pPr>
      <w:r>
        <w:rPr>
          <w:rFonts w:ascii="Calibri" w:cs="Calibri" w:eastAsia="Calibri" w:hAnsi="Calibri"/>
          <w:b/>
          <w:bCs/>
          <w:color w:val="2563EB"/>
          <w:sz w:val="30"/>
          <w:szCs w:val="30"/>
        </w:rPr>
        <w:t xml:space="preserve">5. By the Numbers</w:t>
      </w:r>
    </w:p>
    <w:tbl>
      <w:tblPr>
        <w:tblW w:type="dxa" w:w="9026"/>
        <w:tblBorders>
          <w:top w:val="single" w:color="D1D5DB" w:sz="4"/>
          <w:left w:val="single" w:color="D1D5DB" w:sz="4"/>
          <w:bottom w:val="single" w:color="D1D5DB" w:sz="4"/>
          <w:right w:val="single" w:color="D1D5DB" w:sz="4"/>
          <w:insideH w:val="single" w:color="E5E7EB" w:sz="4"/>
          <w:insideV w:val="single" w:color="E5E7EB" w:sz="4"/>
        </w:tblBorders>
      </w:tblPr>
      <w:tblGrid>
        <w:gridCol w:w="4964"/>
        <w:gridCol w:w="4062"/>
      </w:tblGrid>
      <w:tr>
        <w:trPr>
          <w:tblHeader/>
        </w:trPr>
        <w:tc>
          <w:tcPr>
            <w:tcW w:type="dxa" w:w="4964"/>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Metric</w:t>
            </w:r>
          </w:p>
        </w:tc>
        <w:tc>
          <w:tcPr>
            <w:tcW w:type="dxa" w:w="4062"/>
            <w:shd w:fill="2563EB"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Count</w:t>
            </w:r>
          </w:p>
        </w:tc>
      </w:tr>
      <w:tr>
        <w:tc>
          <w:tcPr>
            <w:tcW w:type="dxa" w:w="4964"/>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Phases scoped in the original Blueprint</w:t>
            </w:r>
          </w:p>
        </w:tc>
        <w:tc>
          <w:tcPr>
            <w:tcW w:type="dxa" w:w="4062"/>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11</w:t>
            </w:r>
          </w:p>
        </w:tc>
      </w:tr>
      <w:tr>
        <w:tc>
          <w:tcPr>
            <w:tcW w:type="dxa" w:w="4964"/>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Phases functionally complete today</w:t>
            </w:r>
          </w:p>
        </w:tc>
        <w:tc>
          <w:tcPr>
            <w:tcW w:type="dxa" w:w="4062"/>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10 done, 1 in progress</w:t>
            </w:r>
          </w:p>
        </w:tc>
      </w:tr>
      <w:tr>
        <w:tc>
          <w:tcPr>
            <w:tcW w:type="dxa" w:w="4964"/>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Pure business-logic packages (core-*)</w:t>
            </w:r>
          </w:p>
        </w:tc>
        <w:tc>
          <w:tcPr>
            <w:tcW w:type="dxa" w:w="4062"/>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17</w:t>
            </w:r>
          </w:p>
        </w:tc>
      </w:tr>
      <w:tr>
        <w:tc>
          <w:tcPr>
            <w:tcW w:type="dxa" w:w="4964"/>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Total Nx workspace packages/apps</w:t>
            </w:r>
          </w:p>
        </w:tc>
        <w:tc>
          <w:tcPr>
            <w:tcW w:type="dxa" w:w="4062"/>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22</w:t>
            </w:r>
          </w:p>
        </w:tc>
      </w:tr>
      <w:tr>
        <w:tc>
          <w:tcPr>
            <w:tcW w:type="dxa" w:w="4964"/>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Company-database migrations</w:t>
            </w:r>
          </w:p>
        </w:tc>
        <w:tc>
          <w:tcPr>
            <w:tcW w:type="dxa" w:w="4062"/>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24</w:t>
            </w:r>
          </w:p>
        </w:tc>
      </w:tr>
      <w:tr>
        <w:tc>
          <w:tcPr>
            <w:tcW w:type="dxa" w:w="4964"/>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Automated tests (Phase 11, from a zero-test baseline)</w:t>
            </w:r>
          </w:p>
        </w:tc>
        <w:tc>
          <w:tcPr>
            <w:tcW w:type="dxa" w:w="4062"/>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179 tests / 27 files</w:t>
            </w:r>
          </w:p>
        </w:tc>
      </w:tr>
      <w:tr>
        <w:tc>
          <w:tcPr>
            <w:tcW w:type="dxa" w:w="4964"/>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Rate-driven engines proven swap-without-code-change</w:t>
            </w:r>
          </w:p>
        </w:tc>
        <w:tc>
          <w:tcPr>
            <w:tcW w:type="dxa" w:w="4062"/>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9</w:t>
            </w:r>
          </w:p>
        </w:tc>
      </w:tr>
      <w:tr>
        <w:tc>
          <w:tcPr>
            <w:tcW w:type="dxa" w:w="4964"/>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Calendar span of the build so far</w:t>
            </w:r>
          </w:p>
        </w:tc>
        <w:tc>
          <w:tcPr>
            <w:tcW w:type="dxa" w:w="4062"/>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2026-09-05 to 2026-09-08</w:t>
            </w:r>
          </w:p>
        </w:tc>
      </w:tr>
    </w:tbl>
    <w:p>
      <w:pPr>
        <w:pStyle w:val="Heading1"/>
        <w:pBdr>
          <w:bottom w:val="single" w:color="2563EB" w:sz="4" w:space="4"/>
        </w:pBdr>
        <w:spacing w:after="160" w:before="360"/>
      </w:pPr>
      <w:r>
        <w:rPr>
          <w:rFonts w:ascii="Calibri" w:cs="Calibri" w:eastAsia="Calibri" w:hAnsi="Calibri"/>
          <w:b/>
          <w:bCs/>
          <w:color w:val="2563EB"/>
          <w:sz w:val="30"/>
          <w:szCs w:val="30"/>
        </w:rPr>
        <w:t xml:space="preserve">6. What's Next</w:t>
      </w:r>
    </w:p>
    <w:p>
      <w:pPr>
        <w:spacing w:after="140"/>
      </w:pPr>
      <w:r>
        <w:rPr>
          <w:rFonts w:ascii="Calibri" w:cs="Calibri" w:eastAsia="Calibri" w:hAnsi="Calibri"/>
          <w:color w:val="111827"/>
          <w:sz w:val="21"/>
          <w:szCs w:val="21"/>
        </w:rPr>
        <w:t xml:space="preserve">Per the Phase Tracker's own Open Questions list: broader database-integration test coverage beyond what Phase 11 already automated, a real third-party penetration test, an actual Chartered Accountant's review and sign-off against the compliance pack, a decision on the Electron sandbox setting flagged in the security review, and a live GUI click-through on a real desktop machine — the one verification step no sandboxed development session has ever been able to perform for itself. None of these are blockers on further engineering work; all of them are the genuine, human, un-fakeable steps a piece of financial software needs before its first real customer.</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026"/>
      </w:tabs>
      <w:spacing w:before="120"/>
    </w:pPr>
    <w:r>
      <w:rPr>
        <w:rFonts w:ascii="Calibri" w:cs="Calibri" w:eastAsia="Calibri" w:hAnsi="Calibri"/>
        <w:color w:val="6B7280"/>
        <w:sz w:val="14"/>
        <w:szCs w:val="14"/>
      </w:rPr>
      <w:t xml:space="preserve">MHTSdigiXR • KoodaldigiXS • Maanagarram Hi Tech Solutions • Confidential &amp; Proprietary</w:t>
    </w:r>
    <w:r>
      <w:rPr>
        <w:rFonts w:ascii="Calibri" w:cs="Calibri" w:eastAsia="Calibri" w:hAnsi="Calibri"/>
      </w:rPr>
      <w:t xml:space="preserve">	</w:t>
    </w:r>
    <w:r>
      <w:rPr>
        <w:rFonts w:ascii="Calibri" w:cs="Calibri" w:eastAsia="Calibri" w:hAnsi="Calibri"/>
        <w:color w:val="6B7280"/>
        <w:sz w:val="14"/>
        <w:szCs w:val="14"/>
      </w:rPr>
      <w:t xml:space="preserve">Page </w:t>
    </w:r>
    <w:r>
      <w:rPr>
        <w:rFonts w:ascii="Calibri" w:cs="Calibri" w:eastAsia="Calibri" w:hAnsi="Calibri"/>
        <w:color w:val="6B7280"/>
        <w:sz w:val="14"/>
        <w:szCs w:val="14"/>
      </w:rPr>
      <w:fldChar w:fldCharType="begin"/>
      <w:instrText xml:space="preserve">PAGE</w:instrText>
      <w:fldChar w:fldCharType="separate"/>
      <w:fldChar w:fldCharType="end"/>
    </w:r>
    <w:r>
      <w:rPr>
        <w:rFonts w:ascii="Calibri" w:cs="Calibri" w:eastAsia="Calibri" w:hAnsi="Calibri"/>
        <w:color w:val="6B7280"/>
        <w:sz w:val="14"/>
        <w:szCs w:val="14"/>
      </w:rPr>
      <w:t xml:space="preserve"> of </w:t>
    </w:r>
    <w:r>
      <w:rPr>
        <w:rFonts w:ascii="Calibri" w:cs="Calibri" w:eastAsia="Calibri" w:hAnsi="Calibri"/>
        <w:color w:val="6B7280"/>
        <w:sz w:val="14"/>
        <w:szCs w:val="14"/>
      </w:rPr>
      <w:fldChar w:fldCharType="begin"/>
      <w:instrText xml:space="preserve">NUMPAGES</w:instrText>
      <w:fldChar w:fldCharType="separate"/>
      <w:fldChar w:fldCharType="end"/>
    </w:r>
  </w:p>
  <w:p>
    <w:r>
      <w:rPr>
        <w:rFonts w:ascii="Calibri" w:cs="Calibri" w:eastAsia="Calibri" w:hAnsi="Calibri"/>
        <w:color w:val="6B7280"/>
        <w:sz w:val="12"/>
        <w:szCs w:val="12"/>
      </w:rPr>
      <w:t xml:space="preserve">No 4056, 5th Main Road, Ayyapakam, Chennai, Tamil Nadu, India – 600077  |  Tel: 044-47740195  |  Mob: +91 7358105995  |  www.mhtsdigixr.com  |  GSTIN: 33AMFPR8672L1Z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6"/>
      </w:pBdr>
      <w:tabs>
        <w:tab w:val="right" w:pos="9026"/>
      </w:tabs>
      <w:spacing w:after="120"/>
    </w:pPr>
    <w:r>
      <w:drawing>
        <wp:inline distT="0" distB="0" distL="0" distR="0">
          <wp:extent cx="8572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33400"/>
                  </a:xfrm>
                  <a:prstGeom prst="rect">
                    <a:avLst/>
                  </a:prstGeom>
                </pic:spPr>
              </pic:pic>
            </a:graphicData>
          </a:graphic>
        </wp:inline>
      </w:drawing>
    </w:r>
    <w:r>
      <w:rPr>
        <w:rFonts w:ascii="Calibri" w:cs="Calibri" w:eastAsia="Calibri" w:hAnsi="Calibri"/>
      </w:rPr>
      <w:t xml:space="preserve">	</w:t>
    </w:r>
    <w:r>
      <w:rPr>
        <w:rFonts w:ascii="Calibri" w:cs="Calibri" w:eastAsia="Calibri" w:hAnsi="Calibri"/>
        <w:i/>
        <w:iCs/>
        <w:color w:val="6B7280"/>
        <w:sz w:val="16"/>
        <w:szCs w:val="16"/>
      </w:rPr>
      <w:t xml:space="preserve">Business Accounting • GST • Inventory • Payroll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7d9cf5b5d8cbf6aadac7adbf1ea1f61655db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aacb926cd5d89f8d706f1163b34e835acae1e6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2026-09-08T02:49:13.270Z</dcterms:created>
  <dcterms:modified xsi:type="dcterms:W3CDTF">2026-09-08T02:49:13.270Z</dcterms:modified>
</cp:coreProperties>
</file>

<file path=docProps/custom.xml><?xml version="1.0" encoding="utf-8"?>
<Properties xmlns="http://schemas.openxmlformats.org/officeDocument/2006/custom-properties" xmlns:vt="http://schemas.openxmlformats.org/officeDocument/2006/docPropsVTypes"/>
</file>