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619250"/>
                    </a:xfrm>
                    <a:prstGeom prst="rect">
                      <a:avLst/>
                    </a:prstGeom>
                  </pic:spPr>
                </pic:pic>
              </a:graphicData>
            </a:graphic>
          </wp:inline>
        </w:drawing>
      </w:r>
    </w:p>
    <w:p>
      <w:pPr>
        <w:spacing w:after="100" w:before="300"/>
        <w:jc w:val="center"/>
      </w:pPr>
      <w:r>
        <w:rPr>
          <w:rFonts w:ascii="Calibri" w:cs="Calibri" w:eastAsia="Calibri" w:hAnsi="Calibri"/>
          <w:b/>
          <w:bCs/>
          <w:color w:val="2563EB"/>
          <w:spacing w:val="20"/>
          <w:sz w:val="22"/>
          <w:szCs w:val="22"/>
        </w:rPr>
        <w:t xml:space="preserve">SIMULATED EXPERT PASS — INTERNAL USE</w:t>
      </w:r>
    </w:p>
    <w:p>
      <w:pPr>
        <w:spacing w:after="100" w:before="100"/>
        <w:jc w:val="center"/>
      </w:pPr>
      <w:r>
        <w:rPr>
          <w:rFonts w:ascii="Calibri" w:cs="Calibri" w:eastAsia="Calibri" w:hAnsi="Calibri"/>
          <w:b/>
          <w:bCs/>
          <w:color w:val="111827"/>
          <w:sz w:val="40"/>
          <w:szCs w:val="40"/>
        </w:rPr>
        <w:t xml:space="preserve">Adversarial Compliance Review</w:t>
      </w:r>
    </w:p>
    <w:p>
      <w:pPr>
        <w:spacing w:after="400" w:before="0"/>
        <w:jc w:val="center"/>
      </w:pPr>
      <w:r>
        <w:rPr>
          <w:rFonts w:ascii="Calibri" w:cs="Calibri" w:eastAsia="Calibri" w:hAnsi="Calibri"/>
          <w:color w:val="6B7280"/>
          <w:sz w:val="24"/>
          <w:szCs w:val="24"/>
        </w:rPr>
        <w:t xml:space="preserve">GST &amp; Payroll Engines — A Skeptical Chartered-Accountant-Persona Pass</w:t>
      </w:r>
    </w:p>
    <w:p>
      <w:pPr>
        <w:spacing w:after="60"/>
        <w:jc w:val="center"/>
      </w:pPr>
      <w:r>
        <w:rPr>
          <w:rFonts w:ascii="Calibri" w:cs="Calibri" w:eastAsia="Calibri" w:hAnsi="Calibri"/>
          <w:b/>
          <w:bCs/>
          <w:color w:val="6B7280"/>
          <w:sz w:val="20"/>
          <w:szCs w:val="20"/>
        </w:rPr>
        <w:t xml:space="preserve">Phase: </w:t>
      </w:r>
      <w:r>
        <w:rPr>
          <w:rFonts w:ascii="Calibri" w:cs="Calibri" w:eastAsia="Calibri" w:hAnsi="Calibri"/>
          <w:color w:val="111827"/>
          <w:sz w:val="20"/>
          <w:szCs w:val="20"/>
        </w:rPr>
        <w:t xml:space="preserve">11 — UAT, Security &amp; Compliance Sign-off</w:t>
      </w:r>
    </w:p>
    <w:p>
      <w:pPr>
        <w:spacing w:after="60"/>
        <w:jc w:val="center"/>
      </w:pPr>
      <w:r>
        <w:rPr>
          <w:rFonts w:ascii="Calibri" w:cs="Calibri" w:eastAsia="Calibri" w:hAnsi="Calibri"/>
          <w:b/>
          <w:bCs/>
          <w:color w:val="6B7280"/>
          <w:sz w:val="20"/>
          <w:szCs w:val="20"/>
        </w:rPr>
        <w:t xml:space="preserve">Reviewed against: </w:t>
      </w:r>
      <w:r>
        <w:rPr>
          <w:rFonts w:ascii="Calibri" w:cs="Calibri" w:eastAsia="Calibri" w:hAnsi="Calibri"/>
          <w:color w:val="111827"/>
          <w:sz w:val="20"/>
          <w:szCs w:val="20"/>
        </w:rPr>
        <w:t xml:space="preserve">branch phase11/uat-security-compliance-and-test-harness</w:t>
      </w:r>
    </w:p>
    <w:p>
      <w:pPr>
        <w:spacing w:after="60"/>
        <w:jc w:val="center"/>
      </w:pPr>
      <w:r>
        <w:rPr>
          <w:rFonts w:ascii="Calibri" w:cs="Calibri" w:eastAsia="Calibri" w:hAnsi="Calibri"/>
          <w:b/>
          <w:bCs/>
          <w:color w:val="6B7280"/>
          <w:sz w:val="20"/>
          <w:szCs w:val="20"/>
        </w:rPr>
        <w:t xml:space="preserve">Date: </w:t>
      </w:r>
      <w:r>
        <w:rPr>
          <w:rFonts w:ascii="Calibri" w:cs="Calibri" w:eastAsia="Calibri" w:hAnsi="Calibri"/>
          <w:color w:val="111827"/>
          <w:sz w:val="20"/>
          <w:szCs w:val="20"/>
        </w:rPr>
        <w:t xml:space="preserve">2026-09-08</w:t>
      </w:r>
    </w:p>
    <w:p>
      <w:pPr>
        <w:spacing w:after="60"/>
        <w:jc w:val="center"/>
      </w:pPr>
      <w:r>
        <w:rPr>
          <w:rFonts w:ascii="Calibri" w:cs="Calibri" w:eastAsia="Calibri" w:hAnsi="Calibri"/>
          <w:b/>
          <w:bCs/>
          <w:color w:val="6B7280"/>
          <w:sz w:val="20"/>
          <w:szCs w:val="20"/>
        </w:rPr>
        <w:t xml:space="preserve">Companion document: </w:t>
      </w:r>
      <w:r>
        <w:rPr>
          <w:rFonts w:ascii="Calibri" w:cs="Calibri" w:eastAsia="Calibri" w:hAnsi="Calibri"/>
          <w:color w:val="111827"/>
          <w:sz w:val="20"/>
          <w:szCs w:val="20"/>
        </w:rPr>
        <w:t xml:space="preserve">MHTS-ERP_CA_Compliance_Test_Cases.md (the pack this review is stress-testing)</w:t>
      </w:r>
    </w:p>
    <w:p>
      <w:pPr>
        <w:spacing w:before="500"/>
        <w:jc w:val="center"/>
      </w:pPr>
      <w:r>
        <w:rPr>
          <w:rFonts w:ascii="Calibri" w:cs="Calibri" w:eastAsia="Calibri" w:hAnsi="Calibri"/>
          <w:i/>
          <w:iCs/>
          <w:color w:val="2563EB"/>
          <w:sz w:val="18"/>
          <w:szCs w:val="18"/>
        </w:rPr>
        <w:t xml:space="preserve">Voice Your Vision. Scale Your Impact.</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1. What This Document Is — and Is Not</w:t>
      </w:r>
    </w:p>
    <w:tbl>
      <w:tblPr>
        <w:tblW w:type="pct" w:w="100%"/>
        <w:tblBorders>
          <w:top w:val="single" w:color="B91C1C" w:sz="4"/>
          <w:left w:val="single" w:color="B91C1C" w:sz="24"/>
          <w:bottom w:val="single" w:color="B91C1C" w:sz="4"/>
          <w:right w:val="single" w:color="B91C1C"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B91C1C"/>
                <w:sz w:val="20"/>
                <w:szCs w:val="20"/>
              </w:rPr>
              <w:t xml:space="preserve">Important disclaimer</w:t>
            </w:r>
          </w:p>
          <w:p>
            <w:r>
              <w:rPr>
                <w:rFonts w:ascii="Calibri" w:cs="Calibri" w:eastAsia="Calibri" w:hAnsi="Calibri"/>
                <w:color w:val="111827"/>
                <w:sz w:val="20"/>
                <w:szCs w:val="20"/>
              </w:rPr>
              <w:t xml:space="preserve">This document is a simulated review: Claude was asked to role-play as a Chartered Accountant with 20+ years of practice and read the GST/payroll engine code and the CA Compliance Test Case pack with deliberate skepticism. It is NOT a licensed CA’s opinion, has no professional standing, and creates no assurance. Its only purpose is to surface gaps and sharpen the real document before an actual, licensed Chartered Accountant reviews it. Every item below still needs that real CA’s independent judgement.</w:t>
            </w:r>
          </w:p>
        </w:tc>
      </w:tr>
    </w:tbl>
    <w:p>
      <w:pPr>
        <w:spacing w:after="120"/>
      </w:pPr>
    </w:p>
    <w:p>
      <w:pPr>
        <w:spacing w:after="140"/>
      </w:pPr>
      <w:r>
        <w:rPr>
          <w:rFonts w:ascii="Calibri" w:cs="Calibri" w:eastAsia="Calibri" w:hAnsi="Calibri"/>
          <w:color w:val="111827"/>
          <w:sz w:val="21"/>
          <w:szCs w:val="21"/>
        </w:rPr>
        <w:t xml:space="preserve">The brief for this pass was specific: do not just re-read the test-case document and nod along. Actually open the source files that compute GST splits, ITC eligibility, reverse charge, set-off, vendor TDS, and every payroll statutory deduction, and check whether the code matches what the document claims it does. Three findings below exist only because the code was read line-by-line, not because the test-case document said anything wrong.</w:t>
      </w:r>
    </w:p>
    <w:p>
      <w:pPr>
        <w:pStyle w:val="Heading1"/>
        <w:pBdr>
          <w:bottom w:val="single" w:color="2563EB" w:sz="4" w:space="4"/>
        </w:pBdr>
        <w:spacing w:after="160" w:before="360"/>
      </w:pPr>
      <w:r>
        <w:rPr>
          <w:rFonts w:ascii="Calibri" w:cs="Calibri" w:eastAsia="Calibri" w:hAnsi="Calibri"/>
          <w:b/>
          <w:bCs/>
          <w:color w:val="2563EB"/>
          <w:sz w:val="30"/>
          <w:szCs w:val="30"/>
        </w:rPr>
        <w:t xml:space="preserve">2. Method</w:t>
      </w:r>
    </w:p>
    <w:p>
      <w:pPr>
        <w:pStyle w:val="ListParagraph"/>
        <w:numPr>
          <w:ilvl w:val="0"/>
          <w:numId w:val="1"/>
        </w:numPr>
        <w:spacing w:after="80"/>
      </w:pPr>
      <w:r>
        <w:rPr>
          <w:rFonts w:ascii="Calibri" w:cs="Calibri" w:eastAsia="Calibri" w:hAnsi="Calibri"/>
          <w:color w:val="111827"/>
          <w:sz w:val="21"/>
          <w:szCs w:val="21"/>
        </w:rPr>
        <w:t xml:space="preserve">Read in full: packages/core-gst-engine/src (gstRates.ts, gstSplit.ts, gstSetOff.ts, gstSummary.ts).</w:t>
      </w:r>
    </w:p>
    <w:p>
      <w:pPr>
        <w:pStyle w:val="ListParagraph"/>
        <w:numPr>
          <w:ilvl w:val="0"/>
          <w:numId w:val="1"/>
        </w:numPr>
        <w:spacing w:after="80"/>
      </w:pPr>
      <w:r>
        <w:rPr>
          <w:rFonts w:ascii="Calibri" w:cs="Calibri" w:eastAsia="Calibri" w:hAnsi="Calibri"/>
          <w:color w:val="111827"/>
          <w:sz w:val="21"/>
          <w:szCs w:val="21"/>
        </w:rPr>
        <w:t xml:space="preserve">Read in full: packages/core-sales-purchase/src/tds.ts, gstLineResolution.ts, gstReturns.ts, and the GST/TDS-relevant portions of purchaseInvoices.ts and salesInvoices.ts.</w:t>
      </w:r>
    </w:p>
    <w:p>
      <w:pPr>
        <w:pStyle w:val="ListParagraph"/>
        <w:numPr>
          <w:ilvl w:val="0"/>
          <w:numId w:val="1"/>
        </w:numPr>
        <w:spacing w:after="80"/>
      </w:pPr>
      <w:r>
        <w:rPr>
          <w:rFonts w:ascii="Calibri" w:cs="Calibri" w:eastAsia="Calibri" w:hAnsi="Calibri"/>
          <w:color w:val="111827"/>
          <w:sz w:val="21"/>
          <w:szCs w:val="21"/>
        </w:rPr>
        <w:t xml:space="preserve">Read in full: packages/core-payroll-engine/src/wageClassification.ts, pf.ts, esi.ts, pt.ts, salaryTds.ts, gratuity.ts, applicability.ts, rules.ts.</w:t>
      </w:r>
    </w:p>
    <w:p>
      <w:pPr>
        <w:pStyle w:val="ListParagraph"/>
        <w:numPr>
          <w:ilvl w:val="0"/>
          <w:numId w:val="1"/>
        </w:numPr>
        <w:spacing w:after="80"/>
      </w:pPr>
      <w:r>
        <w:rPr>
          <w:rFonts w:ascii="Calibri" w:cs="Calibri" w:eastAsia="Calibri" w:hAnsi="Calibri"/>
          <w:color w:val="111827"/>
          <w:sz w:val="21"/>
          <w:szCs w:val="21"/>
        </w:rPr>
        <w:t xml:space="preserve">Cross-checked every claim in MHTS-ERP_CA_Compliance_Test_Cases.md Sections 2–4 against the actual computation code, not just against the automated test files it cites.</w:t>
      </w:r>
    </w:p>
    <w:p>
      <w:pPr>
        <w:pStyle w:val="ListParagraph"/>
        <w:numPr>
          <w:ilvl w:val="0"/>
          <w:numId w:val="1"/>
        </w:numPr>
        <w:spacing w:after="80"/>
      </w:pPr>
      <w:r>
        <w:rPr>
          <w:rFonts w:ascii="Calibri" w:cs="Calibri" w:eastAsia="Calibri" w:hAnsi="Calibri"/>
          <w:color w:val="111827"/>
          <w:sz w:val="21"/>
          <w:szCs w:val="21"/>
        </w:rPr>
        <w:t xml:space="preserve">Did NOT re-run the automated test suite or execute the app — this is a code-and-document reading pass, same constraint the original test-case pack itself discloses for its own manually-verified rows.</w:t>
      </w:r>
    </w:p>
    <w:p>
      <w:pPr>
        <w:pStyle w:val="Heading1"/>
        <w:pBdr>
          <w:bottom w:val="single" w:color="2563EB" w:sz="4" w:space="4"/>
        </w:pBdr>
        <w:spacing w:after="160" w:before="360"/>
      </w:pPr>
      <w:r>
        <w:rPr>
          <w:rFonts w:ascii="Calibri" w:cs="Calibri" w:eastAsia="Calibri" w:hAnsi="Calibri"/>
          <w:b/>
          <w:bCs/>
          <w:color w:val="2563EB"/>
          <w:sz w:val="30"/>
          <w:szCs w:val="30"/>
        </w:rPr>
        <w:t xml:space="preserve">3. Overall Impression, Before the Gap List</w:t>
      </w:r>
    </w:p>
    <w:p>
      <w:pPr>
        <w:spacing w:after="140"/>
      </w:pPr>
      <w:r>
        <w:rPr>
          <w:rFonts w:ascii="Calibri" w:cs="Calibri" w:eastAsia="Calibri" w:hAnsi="Calibri"/>
          <w:color w:val="111827"/>
          <w:sz w:val="21"/>
          <w:szCs w:val="21"/>
        </w:rPr>
        <w:t xml:space="preserve">Twenty years of reviewing client-built and off-the-shelf accounting software makes you cynical about two things in particular: rate tables baked into code, and glossy compliance documents that don’t survive contact with the actual computation. Neither problem exists here in the way it usually does.</w:t>
      </w:r>
    </w:p>
    <w:p>
      <w:pPr>
        <w:pStyle w:val="ListParagraph"/>
        <w:numPr>
          <w:ilvl w:val="0"/>
          <w:numId w:val="1"/>
        </w:numPr>
        <w:spacing w:after="80"/>
      </w:pPr>
      <w:r>
        <w:rPr>
          <w:rFonts w:ascii="Calibri" w:cs="Calibri" w:eastAsia="Calibri" w:hAnsi="Calibri"/>
          <w:color w:val="111827"/>
          <w:sz w:val="21"/>
          <w:szCs w:val="21"/>
        </w:rPr>
        <w:t xml:space="preserve">Every GST rate, TDS rate, and payroll statutory parameter genuinely is a dated, versioned database row — not a constant. This is verified in the code, not just claimed in the document (gstRates.ts, tds.ts, rules.ts all resolve via the same RuleSet mechanism, and a rate change literally cannot be a code change).</w:t>
      </w:r>
    </w:p>
    <w:p>
      <w:pPr>
        <w:pStyle w:val="ListParagraph"/>
        <w:numPr>
          <w:ilvl w:val="0"/>
          <w:numId w:val="1"/>
        </w:numPr>
        <w:spacing w:after="80"/>
      </w:pPr>
      <w:r>
        <w:rPr>
          <w:rFonts w:ascii="Calibri" w:cs="Calibri" w:eastAsia="Calibri" w:hAnsi="Calibri"/>
          <w:color w:val="111827"/>
          <w:sz w:val="21"/>
          <w:szCs w:val="21"/>
        </w:rPr>
        <w:t xml:space="preserve">The rounding discipline (CGST rounded first, SGST takes the remainder; TDS computed only on the amount crossing a threshold) is textbook-correct and matches how a real practice would compute these by hand.</w:t>
      </w:r>
    </w:p>
    <w:p>
      <w:pPr>
        <w:pStyle w:val="ListParagraph"/>
        <w:numPr>
          <w:ilvl w:val="0"/>
          <w:numId w:val="1"/>
        </w:numPr>
        <w:spacing w:after="80"/>
      </w:pPr>
      <w:r>
        <w:rPr>
          <w:rFonts w:ascii="Calibri" w:cs="Calibri" w:eastAsia="Calibri" w:hAnsi="Calibri"/>
          <w:color w:val="111827"/>
          <w:sz w:val="21"/>
          <w:szCs w:val="21"/>
        </w:rPr>
        <w:t xml:space="preserve">The known-simplifications list (Section 4 of the test-case pack) is unusually honest for a vendor document — most of the 16 items are things a first-time reviewer would otherwise have to hunt for themselves.</w:t>
      </w:r>
    </w:p>
    <w:p>
      <w:pPr>
        <w:spacing w:after="140"/>
      </w:pPr>
      <w:r>
        <w:rPr>
          <w:rFonts w:ascii="Calibri" w:cs="Calibri" w:eastAsia="Calibri" w:hAnsi="Calibri"/>
          <w:color w:val="111827"/>
          <w:sz w:val="21"/>
          <w:szCs w:val="21"/>
        </w:rPr>
        <w:t xml:space="preserve">That said, three findings below are not “known simplifications requiring confirmation” — they are places where the code’s actual behavior needs to be checked against the document’s own claims, or against current law, before this pack can be signed with confidence.</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4. Findings — GST</w:t>
      </w:r>
    </w:p>
    <w:p>
      <w:pPr>
        <w:pStyle w:val="Heading2"/>
        <w:spacing w:after="120" w:before="260"/>
      </w:pPr>
      <w:r>
        <w:rPr>
          <w:rFonts w:ascii="Calibri" w:cs="Calibri" w:eastAsia="Calibri" w:hAnsi="Calibri"/>
          <w:b/>
          <w:bCs/>
          <w:color w:val="111827"/>
          <w:sz w:val="24"/>
          <w:szCs w:val="24"/>
        </w:rPr>
        <w:t xml:space="preserve">F1 (Priority) — RCM input tax credit may be entering the same-period set-off despite the document’s own claim that it doesn’t</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B91C1C"/>
          <w:sz w:val="21"/>
          <w:szCs w:val="21"/>
        </w:rPr>
        <w:t xml:space="preserve">High</w:t>
      </w:r>
      <w:r>
        <w:rPr>
          <w:rFonts w:ascii="Calibri" w:cs="Calibri" w:eastAsia="Calibri" w:hAnsi="Calibri"/>
          <w:color w:val="111827"/>
          <w:sz w:val="21"/>
          <w:szCs w:val="21"/>
        </w:rPr>
        <w:t xml:space="preserve">  —  Type: Code-vs-documentation contradiction, needs a CA ruling either way</w:t>
      </w:r>
    </w:p>
    <w:p>
      <w:pPr>
        <w:spacing w:after="140"/>
      </w:pPr>
      <w:r>
        <w:rPr>
          <w:rFonts w:ascii="Calibri" w:cs="Calibri" w:eastAsia="Calibri" w:hAnsi="Calibri"/>
          <w:color w:val="111827"/>
          <w:sz w:val="21"/>
          <w:szCs w:val="21"/>
        </w:rPr>
        <w:t xml:space="preserve">gstReturns.ts’s own field comment on Gstr3bData.rcmInwardCgst states plainly: reverse-charge tax “must be paid in cash; NOT eligible for set-off against this period’s ITC — a real statutory restriction, not modeled as available credit here.”</w:t>
      </w:r>
    </w:p>
    <w:p>
      <w:pPr>
        <w:spacing w:after="140"/>
      </w:pPr>
      <w:r>
        <w:rPr>
          <w:rFonts w:ascii="Calibri" w:cs="Calibri" w:eastAsia="Calibri" w:hAnsi="Calibri"/>
          <w:color w:val="111827"/>
          <w:sz w:val="21"/>
          <w:szCs w:val="21"/>
        </w:rPr>
        <w:t xml:space="preserve">But computeItcTotals() — the function that builds the "eligible ITC" figure actually used in computeGstr3bData()’s netPayable calculation — filters purchase_invoice_line only on itc_eligible = true. It does not exclude is_reverse_charge = true rows. Since a reverse-charge line’s itc_eligible flag defaults to true exactly like a normal purchase line (buildPurchaseVoucherLines in purchaseInvoices.ts sets it the same way regardless of RCM), a self-assessed RCM credit that is eligible DOES flow into the same eligible-ITC pool that gets set off against output liability in the same period.</w:t>
      </w:r>
    </w:p>
    <w:p>
      <w:pPr>
        <w:spacing w:after="140"/>
      </w:pPr>
      <w:r>
        <w:rPr>
          <w:rFonts w:ascii="Calibri" w:cs="Calibri" w:eastAsia="Calibri" w:hAnsi="Calibri"/>
          <w:color w:val="111827"/>
          <w:sz w:val="21"/>
          <w:szCs w:val="21"/>
        </w:rPr>
        <w:t xml:space="preserve">This may not actually be wrong — current practice generally does allow RCM tax paid in cash to become available ITC in the same return period, subject to conditions. But the code comment claims the opposite, and a CA reconciling the GSTR-3B screen’s “net payable” figure against a manual computation needs to know which behavior is actually intended, because the two produce different numbers for any company with material RCM purchases.</w:t>
      </w:r>
    </w:p>
    <w:tbl>
      <w:tblPr>
        <w:tblW w:type="pct" w:w="100%"/>
        <w:tblBorders>
          <w:top w:val="single" w:color="2563EB" w:sz="4"/>
          <w:left w:val="single" w:color="2563EB" w:sz="24"/>
          <w:bottom w:val="single" w:color="2563EB" w:sz="4"/>
          <w:right w:val="single" w:color="2563EB"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2563EB"/>
                <w:sz w:val="20"/>
                <w:szCs w:val="20"/>
              </w:rPr>
              <w:t xml:space="preserve">What I need from the real CA</w:t>
            </w:r>
          </w:p>
          <w:p>
            <w:r>
              <w:rPr>
                <w:rFonts w:ascii="Calibri" w:cs="Calibri" w:eastAsia="Calibri" w:hAnsi="Calibri"/>
                <w:color w:val="111827"/>
                <w:sz w:val="20"/>
                <w:szCs w:val="20"/>
              </w:rPr>
              <w:t xml:space="preserve">Please confirm: should RCM-origin input tax, once self-assessed and marked eligible, be included in the SAME period’s Table 4 eligible ITC and therefore in the Table 6.1 set-off against output liability — or must it be tracked and reported separately, one step removed from the main set-off? Either the code or the doc comment needs to change to match your answer; right now they disagree with each other.</w:t>
            </w:r>
          </w:p>
        </w:tc>
      </w:tr>
    </w:tbl>
    <w:p>
      <w:pPr>
        <w:pStyle w:val="Heading2"/>
        <w:spacing w:after="120" w:before="260"/>
      </w:pPr>
      <w:r>
        <w:rPr>
          <w:rFonts w:ascii="Calibri" w:cs="Calibri" w:eastAsia="Calibri" w:hAnsi="Calibri"/>
          <w:b/>
          <w:bCs/>
          <w:color w:val="111827"/>
          <w:sz w:val="24"/>
          <w:szCs w:val="24"/>
        </w:rPr>
        <w:t xml:space="preserve">F2 — GST TDS (Section 51) and GST TCS (Section 52) are not modeled at all, and aren’t on the sign-off checklist</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111827"/>
          <w:sz w:val="21"/>
          <w:szCs w:val="21"/>
        </w:rPr>
        <w:t xml:space="preserve">  —  Type: Undisclosed gap</w:t>
      </w:r>
    </w:p>
    <w:p>
      <w:pPr>
        <w:spacing w:after="140"/>
      </w:pPr>
      <w:r>
        <w:rPr>
          <w:rFonts w:ascii="Calibri" w:cs="Calibri" w:eastAsia="Calibri" w:hAnsi="Calibri"/>
          <w:color w:val="111827"/>
          <w:sz w:val="21"/>
          <w:szCs w:val="21"/>
        </w:rPr>
        <w:t xml:space="preserve">The app models Income-tax TDS under the 194 series (194C/194J/194Q/194I) in exhaustive, threshold-aware detail. It has no concept at all of GST TDS (specified persons — typically government departments and PSUs — deducting 2% under Section 51) or GST TCS (e-commerce operators collecting under Section 52). For most SMB customers this is genuinely irrelevant. For any customer who supplies to government bodies, or who sells through an e-commerce marketplace as a TCS-collected vendor, it is a real, currently invisible gap — there is no line item anywhere in the test-case pack even naming this as an exclusion.</w:t>
      </w:r>
    </w:p>
    <w:p>
      <w:pPr>
        <w:spacing w:after="140"/>
      </w:pPr>
      <w:r>
        <w:rPr>
          <w:rFonts w:ascii="Calibri" w:cs="Calibri" w:eastAsia="Calibri" w:hAnsi="Calibri"/>
          <w:color w:val="111827"/>
          <w:sz w:val="21"/>
          <w:szCs w:val="21"/>
        </w:rPr>
        <w:t xml:space="preserve">Recommend adding this to the sign-off checklist explicitly (see Section 6) rather than leaving it undisclosed by omission.</w:t>
      </w:r>
    </w:p>
    <w:p>
      <w:pPr>
        <w:pStyle w:val="Heading2"/>
        <w:spacing w:after="120" w:before="260"/>
      </w:pPr>
      <w:r>
        <w:rPr>
          <w:rFonts w:ascii="Calibri" w:cs="Calibri" w:eastAsia="Calibri" w:hAnsi="Calibri"/>
          <w:b/>
          <w:bCs/>
          <w:color w:val="111827"/>
          <w:sz w:val="24"/>
          <w:szCs w:val="24"/>
        </w:rPr>
        <w:t xml:space="preserve">F3 — Vendor TDS section-tagging has no safety net against a forgotten deduction</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111827"/>
          <w:sz w:val="21"/>
          <w:szCs w:val="21"/>
        </w:rPr>
        <w:t xml:space="preserve">  —  Type: Process/control gap, not a formula bug</w:t>
      </w:r>
    </w:p>
    <w:p>
      <w:pPr>
        <w:spacing w:after="140"/>
      </w:pPr>
      <w:r>
        <w:rPr>
          <w:rFonts w:ascii="Calibri" w:cs="Calibri" w:eastAsia="Calibri" w:hAnsi="Calibri"/>
          <w:color w:val="111827"/>
          <w:sz w:val="21"/>
          <w:szCs w:val="21"/>
        </w:rPr>
        <w:t xml:space="preserve">createPurchaseInvoiceInTransaction only computes TDS if the person entering the invoice manually selects a tdsSection. There is no validation, warning, or even a soft prompt when a purchase is posted against a party who has a professional/contractor profile and no TDS section was chosen. In every real practice I’ve worked with, under-deduction of TDS is caught in the books six months late, at audit time, when it’s expensive (interest + disallowance under Section 40(a)(ia)) to fix. Software that silently allows the omission is exactly how that happens. This isn’t a formula defect — the computeTdsAmount() math is correct — it’s a missing guard rail around when that formula gets invoked at all.</w:t>
      </w:r>
    </w:p>
    <w:p>
      <w:pPr>
        <w:pStyle w:val="Heading2"/>
        <w:spacing w:after="120" w:before="260"/>
      </w:pPr>
      <w:r>
        <w:rPr>
          <w:rFonts w:ascii="Calibri" w:cs="Calibri" w:eastAsia="Calibri" w:hAnsi="Calibri"/>
          <w:b/>
          <w:bCs/>
          <w:color w:val="111827"/>
          <w:sz w:val="24"/>
          <w:szCs w:val="24"/>
        </w:rPr>
        <w:t xml:space="preserve">F4 — TDS cumulative threshold tracking resets if a party’s applicable section is reclassified mid-year</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15803D"/>
          <w:sz w:val="21"/>
          <w:szCs w:val="21"/>
        </w:rPr>
        <w:t xml:space="preserve">Low</w:t>
      </w:r>
      <w:r>
        <w:rPr>
          <w:rFonts w:ascii="Calibri" w:cs="Calibri" w:eastAsia="Calibri" w:hAnsi="Calibri"/>
          <w:color w:val="111827"/>
          <w:sz w:val="21"/>
          <w:szCs w:val="21"/>
        </w:rPr>
        <w:t xml:space="preserve">  —  Type: Edge case</w:t>
      </w:r>
    </w:p>
    <w:p>
      <w:pPr>
        <w:spacing w:after="140"/>
      </w:pPr>
      <w:r>
        <w:rPr>
          <w:rFonts w:ascii="Calibri" w:cs="Calibri" w:eastAsia="Calibri" w:hAnsi="Calibri"/>
          <w:color w:val="111827"/>
          <w:sz w:val="21"/>
          <w:szCs w:val="21"/>
        </w:rPr>
        <w:t xml:space="preserve">cumulativeTaxableThisFinancialYear() sums prior purchase_invoice rows filtered on the SAME tds_section as the current invoice. If a bookkeeper tags a vendor’s early invoices under 194C and later invoices (correctly or incorrectly) under 194J, the threshold math for each section restarts from zero rather than seeing the vendor’s combined history. This is a narrow scenario but a real one — payment classification disputes with a single vendor across a year are not rare.</w:t>
      </w:r>
    </w:p>
    <w:p>
      <w:pPr>
        <w:pStyle w:val="Heading2"/>
        <w:spacing w:after="120" w:before="260"/>
      </w:pPr>
      <w:r>
        <w:rPr>
          <w:rFonts w:ascii="Calibri" w:cs="Calibri" w:eastAsia="Calibri" w:hAnsi="Calibri"/>
          <w:b/>
          <w:bCs/>
          <w:color w:val="111827"/>
          <w:sz w:val="24"/>
          <w:szCs w:val="24"/>
        </w:rPr>
        <w:t xml:space="preserve">F5 — Composition/regular scheme switching mid-year (already flagged as S3) deserves a stronger warning than "no in-app path"</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15803D"/>
          <w:sz w:val="21"/>
          <w:szCs w:val="21"/>
        </w:rPr>
        <w:t xml:space="preserve">Low</w:t>
      </w:r>
      <w:r>
        <w:rPr>
          <w:rFonts w:ascii="Calibri" w:cs="Calibri" w:eastAsia="Calibri" w:hAnsi="Calibri"/>
          <w:color w:val="111827"/>
          <w:sz w:val="21"/>
          <w:szCs w:val="21"/>
        </w:rPr>
        <w:t xml:space="preserve">  —  Reinforcing an existing disclosure</w:t>
      </w:r>
    </w:p>
    <w:p>
      <w:pPr>
        <w:spacing w:after="140"/>
      </w:pPr>
      <w:r>
        <w:rPr>
          <w:rFonts w:ascii="Calibri" w:cs="Calibri" w:eastAsia="Calibri" w:hAnsi="Calibri"/>
          <w:color w:val="111827"/>
          <w:sz w:val="21"/>
          <w:szCs w:val="21"/>
        </w:rPr>
        <w:t xml:space="preserve">The existing S3 item is accurate but undersells the risk: a company that switches scheme outside the app (the statutory process happens on the GST portal regardless of what this software does) and then keeps using this app with only its companyGstRegistrationType flag manually flipped will silently misclassify every invoice from that point with no reconciliation check against the ITC reversal/availing the actual switch requires. Recommend the sign-off note explicitly tell the CA to confirm this is a manual, CA-supervised event every time it happens, not a one-time configuration.</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5. Findings — Payroll</w:t>
      </w:r>
    </w:p>
    <w:p>
      <w:pPr>
        <w:pStyle w:val="Heading2"/>
        <w:spacing w:after="120" w:before="260"/>
      </w:pPr>
      <w:r>
        <w:rPr>
          <w:rFonts w:ascii="Calibri" w:cs="Calibri" w:eastAsia="Calibri" w:hAnsi="Calibri"/>
          <w:b/>
          <w:bCs/>
          <w:color w:val="111827"/>
          <w:sz w:val="24"/>
          <w:szCs w:val="24"/>
        </w:rPr>
        <w:t xml:space="preserve">F6 — ESI’s contribution-period continuity rule is not modeled</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111827"/>
          <w:sz w:val="21"/>
          <w:szCs w:val="21"/>
        </w:rPr>
        <w:t xml:space="preserve">  —  Type: Statutory nuance not implemented</w:t>
      </w:r>
    </w:p>
    <w:p>
      <w:pPr>
        <w:spacing w:after="140"/>
      </w:pPr>
      <w:r>
        <w:rPr>
          <w:rFonts w:ascii="Calibri" w:cs="Calibri" w:eastAsia="Calibri" w:hAnsi="Calibri"/>
          <w:color w:val="111827"/>
          <w:sz w:val="21"/>
          <w:szCs w:val="21"/>
        </w:rPr>
        <w:t xml:space="preserve">computeEsi() re-evaluates the wage-ceiling gate independently every payroll run: an employee above the ceiling this month is simply outside the scheme this month. Real ESI law works differently — once an employee is covered at the start of a contribution period (1 Apr–30 Sep or 1 Oct–31 Mar), they remain covered and contributing for the REST of that period even if a mid-period raise pushes gross wages above the ceiling, dropping out only at the next period boundary. As written, a mid-period raise would incorrectly and immediately remove an employee from ESI instead of carrying them to the period’s end. This is a real correctness gap for any company giving raises outside the April/October cycle, not a mere disclosure item.</w:t>
      </w:r>
    </w:p>
    <w:p>
      <w:pPr>
        <w:pStyle w:val="Heading2"/>
        <w:spacing w:after="120" w:before="260"/>
      </w:pPr>
      <w:r>
        <w:rPr>
          <w:rFonts w:ascii="Calibri" w:cs="Calibri" w:eastAsia="Calibri" w:hAnsi="Calibri"/>
          <w:b/>
          <w:bCs/>
          <w:color w:val="111827"/>
          <w:sz w:val="24"/>
          <w:szCs w:val="24"/>
        </w:rPr>
        <w:t xml:space="preserve">F7 — Section 87A rebate is a hard cliff, not the marginal-relief curve the law actually provides</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111827"/>
          <w:sz w:val="21"/>
          <w:szCs w:val="21"/>
        </w:rPr>
        <w:t xml:space="preserve">  —  Type: Formula gap</w:t>
      </w:r>
    </w:p>
    <w:p>
      <w:pPr>
        <w:spacing w:after="140"/>
      </w:pPr>
      <w:r>
        <w:rPr>
          <w:rFonts w:ascii="Calibri" w:cs="Calibri" w:eastAsia="Calibri" w:hAnsi="Calibri"/>
          <w:color w:val="111827"/>
          <w:sz w:val="21"/>
          <w:szCs w:val="21"/>
        </w:rPr>
        <w:t xml:space="preserve">computeAnnualTaxNewRegime() returns zero tax at or below the ₹12,00,000 rebate threshold, then jumps straight to full progressive-slab tax the moment net taxable income exceeds it by even ₹1. The actual Section 87A marginal-relief provision caps the tax payable, for income just above the threshold, at the amount by which income exceeds ₹12,00,000 — smoothing the cliff so a small raise can’t create a tax bill larger than the raise itself. An employee earning, say, ₹12,05,000 would see this app compute meaningfully more tax than the marginal-relief provision actually permits. This is worth fixing, not just disclosing — it produces a wrong number for a plausible, common salary band.</w:t>
      </w:r>
    </w:p>
    <w:p>
      <w:pPr>
        <w:pStyle w:val="Heading2"/>
        <w:spacing w:after="120" w:before="260"/>
      </w:pPr>
      <w:r>
        <w:rPr>
          <w:rFonts w:ascii="Calibri" w:cs="Calibri" w:eastAsia="Calibri" w:hAnsi="Calibri"/>
          <w:b/>
          <w:bCs/>
          <w:color w:val="111827"/>
          <w:sz w:val="24"/>
          <w:szCs w:val="24"/>
        </w:rPr>
        <w:t xml:space="preserve">F8 — TDS regime being company-wide, not per-employee, is a bigger deal than S12’s current framing suggests</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B45309"/>
          <w:sz w:val="21"/>
          <w:szCs w:val="21"/>
        </w:rPr>
        <w:t xml:space="preserve">Medium</w:t>
      </w:r>
      <w:r>
        <w:rPr>
          <w:rFonts w:ascii="Calibri" w:cs="Calibri" w:eastAsia="Calibri" w:hAnsi="Calibri"/>
          <w:color w:val="111827"/>
          <w:sz w:val="21"/>
          <w:szCs w:val="21"/>
        </w:rPr>
        <w:t xml:space="preserve">  —  Reinforcing an existing disclosure</w:t>
      </w:r>
    </w:p>
    <w:p>
      <w:pPr>
        <w:spacing w:after="140"/>
      </w:pPr>
      <w:r>
        <w:rPr>
          <w:rFonts w:ascii="Calibri" w:cs="Calibri" w:eastAsia="Calibri" w:hAnsi="Calibri"/>
          <w:color w:val="111827"/>
          <w:sz w:val="21"/>
          <w:szCs w:val="21"/>
        </w:rPr>
        <w:t xml:space="preserve">S12 already discloses this. From a practice standpoint, this is not a minor convenience gap: every employee in India has an individual, annual, legally protected right to choose their own regime (Form 10-IEA territory for certain cases, and a fresh choice every year for salaried employees regardless). A company-wide setting means at least some employees’ monthly TDS is being computed under a regime they did not choose, which the app cannot even flag as a risk to them since there’s no per-employee override. Recommend elevating this from a passive checklist line to something the CA explicitly discusses with the client’s HR/payroll process, not just initials next to it.</w:t>
      </w:r>
    </w:p>
    <w:p>
      <w:pPr>
        <w:pStyle w:val="Heading2"/>
        <w:spacing w:after="120" w:before="260"/>
      </w:pPr>
      <w:r>
        <w:rPr>
          <w:rFonts w:ascii="Calibri" w:cs="Calibri" w:eastAsia="Calibri" w:hAnsi="Calibri"/>
          <w:b/>
          <w:bCs/>
          <w:color w:val="111827"/>
          <w:sz w:val="24"/>
          <w:szCs w:val="24"/>
        </w:rPr>
        <w:t xml:space="preserve">F9 — No Form 16/24Q and no PF/ESI e-filing (S14) is a go-live blocker for most clients, not a footnote</w:t>
      </w:r>
    </w:p>
    <w:p>
      <w:pPr>
        <w:spacing w:after="140"/>
      </w:pPr>
      <w:r>
        <w:rPr>
          <w:rFonts w:ascii="Calibri" w:cs="Calibri" w:eastAsia="Calibri" w:hAnsi="Calibri"/>
          <w:color w:val="111827"/>
          <w:sz w:val="21"/>
          <w:szCs w:val="21"/>
        </w:rPr>
        <w:t xml:space="preserve">Severity: </w:t>
      </w:r>
      <w:r>
        <w:rPr>
          <w:rFonts w:ascii="Calibri" w:cs="Calibri" w:eastAsia="Calibri" w:hAnsi="Calibri"/>
          <w:b/>
          <w:bCs/>
          <w:color w:val="15803D"/>
          <w:sz w:val="21"/>
          <w:szCs w:val="21"/>
        </w:rPr>
        <w:t xml:space="preserve">Low</w:t>
      </w:r>
      <w:r>
        <w:rPr>
          <w:rFonts w:ascii="Calibri" w:cs="Calibri" w:eastAsia="Calibri" w:hAnsi="Calibri"/>
          <w:color w:val="111827"/>
          <w:sz w:val="21"/>
          <w:szCs w:val="21"/>
        </w:rPr>
        <w:t xml:space="preserve">  —  Reinforcing an existing disclosure</w:t>
      </w:r>
    </w:p>
    <w:p>
      <w:pPr>
        <w:spacing w:after="140"/>
      </w:pPr>
      <w:r>
        <w:rPr>
          <w:rFonts w:ascii="Calibri" w:cs="Calibri" w:eastAsia="Calibri" w:hAnsi="Calibri"/>
          <w:color w:val="111827"/>
          <w:sz w:val="21"/>
          <w:szCs w:val="21"/>
        </w:rPr>
        <w:t xml:space="preserve">Correct as documented. Flagging only to make sure this doesn’t get initialed as a minor item — for almost any real client, "no Form 16 generation" means payroll administration still needs a second tool or a manual annual project every March, which changes the honest answer to "is this app payroll-complete" from yes to "yes, for monthly processing; no, for annual statutory output."</w:t>
      </w:r>
    </w:p>
    <w:p>
      <w:r>
        <w:br w:type="page"/>
      </w:r>
    </w:p>
    <w:p>
      <w:pPr>
        <w:pStyle w:val="Heading1"/>
        <w:pBdr>
          <w:bottom w:val="single" w:color="2563EB" w:sz="4" w:space="4"/>
        </w:pBdr>
        <w:spacing w:after="160" w:before="360"/>
      </w:pPr>
      <w:r>
        <w:rPr>
          <w:rFonts w:ascii="Calibri" w:cs="Calibri" w:eastAsia="Calibri" w:hAnsi="Calibri"/>
          <w:b/>
          <w:bCs/>
          <w:color w:val="2563EB"/>
          <w:sz w:val="30"/>
          <w:szCs w:val="30"/>
        </w:rPr>
        <w:t xml:space="preserve">6. Recommended Additions to the Sign-Off Checklist</w:t>
      </w:r>
    </w:p>
    <w:p>
      <w:pPr>
        <w:spacing w:after="140"/>
      </w:pPr>
      <w:r>
        <w:rPr>
          <w:rFonts w:ascii="Calibri" w:cs="Calibri" w:eastAsia="Calibri" w:hAnsi="Calibri"/>
          <w:color w:val="111827"/>
          <w:sz w:val="21"/>
          <w:szCs w:val="21"/>
        </w:rPr>
        <w:t xml:space="preserve">The existing S1–S16 checklist in Section 4 of the test-case pack was checked line-by-line against the code read for this pass and holds up — every one of the 16 items accurately describes what the code does. The four rows below are new; recommend appending them as S17–S20 before this pack goes to the real CA.</w:t>
      </w:r>
    </w:p>
    <w:tbl>
      <w:tblPr>
        <w:tblW w:type="dxa" w:w="9026"/>
        <w:tblBorders>
          <w:top w:val="single" w:color="D1D5DB" w:sz="4"/>
          <w:left w:val="single" w:color="D1D5DB" w:sz="4"/>
          <w:bottom w:val="single" w:color="D1D5DB" w:sz="4"/>
          <w:right w:val="single" w:color="D1D5DB" w:sz="4"/>
          <w:insideH w:val="single" w:color="E5E7EB" w:sz="4"/>
          <w:insideV w:val="single" w:color="E5E7EB" w:sz="4"/>
        </w:tblBorders>
      </w:tblPr>
      <w:tblGrid>
        <w:gridCol w:w="542"/>
        <w:gridCol w:w="6679"/>
        <w:gridCol w:w="1805"/>
      </w:tblGrid>
      <w:tr>
        <w:trPr>
          <w:tblHeader/>
        </w:trPr>
        <w:tc>
          <w:tcPr>
            <w:tcW w:type="dxa" w:w="542"/>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t>
            </w:r>
          </w:p>
        </w:tc>
        <w:tc>
          <w:tcPr>
            <w:tcW w:type="dxa" w:w="6679"/>
            <w:shd w:fill="2563EB" w:color="auto"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Simplification</w:t>
            </w:r>
          </w:p>
        </w:tc>
        <w:tc>
          <w:tcPr>
            <w:tcW w:type="dxa" w:w="1805"/>
            <w:shd w:fill="2563EB"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Sign-off</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S17</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GST: no GST TDS (Section 51, government/PSU deductors) or GST TCS (Section 52, e-commerce operators) is modeled — only Income-tax vendor TDS (194 series) exists.</w:t>
            </w:r>
          </w:p>
        </w:tc>
        <w:tc>
          <w:tcPr>
            <w:tcW w:type="dxa" w:w="180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S18</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Vendor TDS: the TDS section is entirely manually tagged per invoice with no validation — an omitted tag silently results in zero deduction with no warning.</w:t>
            </w:r>
          </w:p>
        </w:tc>
        <w:tc>
          <w:tcPr>
            <w:tcW w:type="dxa" w:w="180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w:t>
            </w:r>
          </w:p>
        </w:tc>
      </w:tr>
      <w:tr>
        <w:tc>
          <w:tcPr>
            <w:tcW w:type="dxa" w:w="542"/>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S19</w:t>
            </w:r>
          </w:p>
        </w:tc>
        <w:tc>
          <w:tcPr>
            <w:tcW w:type="dxa" w:w="6679"/>
            <w:shd w:fill="FFFFFF"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Payroll: ESI applicability is re-evaluated every payroll run rather than honoring the 6-month contribution-period continuity rule — a mid-period raise can incorrectly drop an employee from ESI immediately instead of at the period boundary.</w:t>
            </w:r>
          </w:p>
        </w:tc>
        <w:tc>
          <w:tcPr>
            <w:tcW w:type="dxa" w:w="1805"/>
            <w:shd w:fill="FFFFFF"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w:t>
            </w:r>
          </w:p>
        </w:tc>
      </w:tr>
      <w:tr>
        <w:tc>
          <w:tcPr>
            <w:tcW w:type="dxa" w:w="542"/>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S20</w:t>
            </w:r>
          </w:p>
        </w:tc>
        <w:tc>
          <w:tcPr>
            <w:tcW w:type="dxa" w:w="6679"/>
            <w:shd w:fill="F9FAFB" w:color="auto" w:val="clear"/>
            <w:tcMar>
              <w:top w:type="dxa" w:w="70"/>
              <w:left w:type="dxa" w:w="100"/>
              <w:bottom w:type="dxa" w:w="70"/>
              <w:right w:type="dxa" w:w="100"/>
            </w:tcMar>
          </w:tcPr>
          <w:p>
            <w:pPr>
              <w:jc w:val="left"/>
            </w:pPr>
            <w:r>
              <w:rPr>
                <w:rFonts w:ascii="Calibri" w:cs="Calibri" w:eastAsia="Calibri" w:hAnsi="Calibri"/>
                <w:color w:val="111827"/>
                <w:sz w:val="18"/>
                <w:szCs w:val="18"/>
              </w:rPr>
              <w:t xml:space="preserve">Payroll: the Section 87A rebate is computed as a hard cliff at ₹12,00,000 net taxable income, without the marginal-relief smoothing the law provides just above that threshold.</w:t>
            </w:r>
          </w:p>
        </w:tc>
        <w:tc>
          <w:tcPr>
            <w:tcW w:type="dxa" w:w="1805"/>
            <w:shd w:fill="F9FAFB" w:color="auto" w:val="clear"/>
            <w:tcMar>
              <w:top w:type="dxa" w:w="70"/>
              <w:left w:type="dxa" w:w="100"/>
              <w:bottom w:type="dxa" w:w="70"/>
              <w:right w:type="dxa" w:w="100"/>
            </w:tcMar>
          </w:tcPr>
          <w:p>
            <w:pPr>
              <w:jc w:val="center"/>
            </w:pPr>
            <w:r>
              <w:rPr>
                <w:rFonts w:ascii="Calibri" w:cs="Calibri" w:eastAsia="Calibri" w:hAnsi="Calibri"/>
                <w:color w:val="111827"/>
                <w:sz w:val="18"/>
                <w:szCs w:val="18"/>
              </w:rPr>
              <w:t xml:space="preserve">☐</w:t>
            </w:r>
          </w:p>
        </w:tc>
      </w:tr>
    </w:tbl>
    <w:p>
      <w:pPr>
        <w:spacing w:after="120"/>
      </w:pPr>
    </w:p>
    <w:tbl>
      <w:tblPr>
        <w:tblW w:type="pct" w:w="100%"/>
        <w:tblBorders>
          <w:top w:val="single" w:color="2563EB" w:sz="4"/>
          <w:left w:val="single" w:color="2563EB" w:sz="24"/>
          <w:bottom w:val="single" w:color="2563EB" w:sz="4"/>
          <w:right w:val="single" w:color="2563EB" w:sz="4"/>
          <w:insideH w:val="none" w:color="FFFFFF" w:sz="0"/>
          <w:insideV w:val="none" w:color="FFFFFF" w:sz="0"/>
        </w:tblBorders>
      </w:tblPr>
      <w:tblGrid>
        <w:gridCol w:w="100"/>
      </w:tblGrid>
      <w:tr>
        <w:tc>
          <w:tcPr>
            <w:shd w:fill="EFF6FF" w:color="auto" w:val="clear"/>
            <w:tcMar>
              <w:top w:type="dxa" w:w="120"/>
              <w:left w:type="dxa" w:w="180"/>
              <w:bottom w:type="dxa" w:w="120"/>
              <w:right w:type="dxa" w:w="180"/>
            </w:tcMar>
          </w:tcPr>
          <w:p>
            <w:pPr>
              <w:spacing w:after="60"/>
            </w:pPr>
            <w:r>
              <w:rPr>
                <w:rFonts w:ascii="Calibri" w:cs="Calibri" w:eastAsia="Calibri" w:hAnsi="Calibri"/>
                <w:b/>
                <w:bCs/>
                <w:color w:val="2563EB"/>
                <w:sz w:val="20"/>
                <w:szCs w:val="20"/>
              </w:rPr>
              <w:t xml:space="preserve">On F1 specifically</w:t>
            </w:r>
          </w:p>
          <w:p>
            <w:r>
              <w:rPr>
                <w:rFonts w:ascii="Calibri" w:cs="Calibri" w:eastAsia="Calibri" w:hAnsi="Calibri"/>
                <w:color w:val="111827"/>
                <w:sz w:val="20"/>
                <w:szCs w:val="20"/>
              </w:rPr>
              <w:t xml:space="preserve">F1 (the RCM set-off question) is not a checklist item because it isn’t a disclosed simplification — it’s a place where the code and its own documentation disagree. Recommend resolving it as a code/doc fix before this pack is finalized, rather than adding it as a 21st checkbox for the CA to interpret.</w:t>
            </w:r>
          </w:p>
        </w:tc>
      </w:tr>
    </w:tbl>
    <w:p>
      <w:pPr>
        <w:pStyle w:val="Heading1"/>
        <w:pBdr>
          <w:bottom w:val="single" w:color="2563EB" w:sz="4" w:space="4"/>
        </w:pBdr>
        <w:spacing w:after="160" w:before="360"/>
      </w:pPr>
      <w:r>
        <w:rPr>
          <w:rFonts w:ascii="Calibri" w:cs="Calibri" w:eastAsia="Calibri" w:hAnsi="Calibri"/>
          <w:b/>
          <w:bCs/>
          <w:color w:val="2563EB"/>
          <w:sz w:val="30"/>
          <w:szCs w:val="30"/>
        </w:rPr>
        <w:t xml:space="preserve">7. What This Pass Did Not Do</w:t>
      </w:r>
    </w:p>
    <w:p>
      <w:pPr>
        <w:pStyle w:val="ListParagraph"/>
        <w:numPr>
          <w:ilvl w:val="0"/>
          <w:numId w:val="1"/>
        </w:numPr>
        <w:spacing w:after="80"/>
      </w:pPr>
      <w:r>
        <w:rPr>
          <w:rFonts w:ascii="Calibri" w:cs="Calibri" w:eastAsia="Calibri" w:hAnsi="Calibri"/>
          <w:color w:val="111827"/>
          <w:sz w:val="21"/>
          <w:szCs w:val="21"/>
        </w:rPr>
        <w:t xml:space="preserve">Did not test against the GST portal, the EPFO/ESIC portals, or any government filing system — nothing here validates upload-format correctness.</w:t>
      </w:r>
    </w:p>
    <w:p>
      <w:pPr>
        <w:pStyle w:val="ListParagraph"/>
        <w:numPr>
          <w:ilvl w:val="0"/>
          <w:numId w:val="1"/>
        </w:numPr>
        <w:spacing w:after="80"/>
      </w:pPr>
      <w:r>
        <w:rPr>
          <w:rFonts w:ascii="Calibri" w:cs="Calibri" w:eastAsia="Calibri" w:hAnsi="Calibri"/>
          <w:color w:val="111827"/>
          <w:sz w:val="21"/>
          <w:szCs w:val="21"/>
        </w:rPr>
        <w:t xml:space="preserve">Did not construct or run new test scenarios — this was a static read of the engine code and the existing test-case document, cross-referenced against general knowledge of current GST/payroll law as of early 2026.</w:t>
      </w:r>
    </w:p>
    <w:p>
      <w:pPr>
        <w:pStyle w:val="ListParagraph"/>
        <w:numPr>
          <w:ilvl w:val="0"/>
          <w:numId w:val="1"/>
        </w:numPr>
        <w:spacing w:after="80"/>
      </w:pPr>
      <w:r>
        <w:rPr>
          <w:rFonts w:ascii="Calibri" w:cs="Calibri" w:eastAsia="Calibri" w:hAnsi="Calibri"/>
          <w:color w:val="111827"/>
          <w:sz w:val="21"/>
          <w:szCs w:val="21"/>
        </w:rPr>
        <w:t xml:space="preserve">Did not review core-inventory, core-fixed-assets, core-banking, or any non-GST/payroll module — out of this pass’s stated scope.</w:t>
      </w:r>
    </w:p>
    <w:p>
      <w:pPr>
        <w:pStyle w:val="ListParagraph"/>
        <w:numPr>
          <w:ilvl w:val="0"/>
          <w:numId w:val="1"/>
        </w:numPr>
        <w:spacing w:after="80"/>
      </w:pPr>
      <w:r>
        <w:rPr>
          <w:rFonts w:ascii="Calibri" w:cs="Calibri" w:eastAsia="Calibri" w:hAnsi="Calibri"/>
          <w:color w:val="111827"/>
          <w:sz w:val="21"/>
          <w:szCs w:val="21"/>
        </w:rPr>
        <w:t xml:space="preserve">Is not aware of any state-specific PT/labour-welfare-fund nuance beyond what’s visible in the RuleSet mechanism itself — that part of the checklist still rests entirely on whatever jurisdiction rows the real CA or client configures.</w:t>
      </w:r>
    </w:p>
    <w:p>
      <w:pPr>
        <w:pStyle w:val="Heading1"/>
        <w:pBdr>
          <w:bottom w:val="single" w:color="2563EB" w:sz="4" w:space="4"/>
        </w:pBdr>
        <w:spacing w:after="160" w:before="360"/>
      </w:pPr>
      <w:r>
        <w:rPr>
          <w:rFonts w:ascii="Calibri" w:cs="Calibri" w:eastAsia="Calibri" w:hAnsi="Calibri"/>
          <w:b/>
          <w:bCs/>
          <w:color w:val="2563EB"/>
          <w:sz w:val="30"/>
          <w:szCs w:val="30"/>
        </w:rPr>
        <w:t xml:space="preserve">8. Recommendation</w:t>
      </w:r>
    </w:p>
    <w:p>
      <w:pPr>
        <w:spacing w:after="140"/>
      </w:pPr>
      <w:r>
        <w:rPr>
          <w:rFonts w:ascii="Calibri" w:cs="Calibri" w:eastAsia="Calibri" w:hAnsi="Calibri"/>
          <w:color w:val="111827"/>
          <w:sz w:val="21"/>
          <w:szCs w:val="21"/>
        </w:rPr>
        <w:t xml:space="preserve">Nothing found here should be read as "this app is unfit for its purpose." The rate-versioning architecture and the disclosure culture are both genuinely better than most commercial Indian accounting software I’ve reviewed. But F1, F6, and F7 are not disclosure items — they are places where either the code’s behavior needs to change, or its own documentation is actively misleading about what it does. Recommend resolving those three before this pack reaches the real CA, and appending S17–S20 to the sign-off checklist for everything else. As with every simulated pass in this project: this strengthens the pack, it does not substitute for the licensed CA’s own review and sign-off.</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6"/>
      </w:pBdr>
      <w:spacing w:after="40" w:before="120"/>
    </w:pPr>
    <w:r>
      <w:rPr>
        <w:rFonts w:ascii="Calibri" w:cs="Calibri" w:eastAsia="Calibri" w:hAnsi="Calibri"/>
        <w:color w:val="6B7280"/>
        <w:sz w:val="14"/>
        <w:szCs w:val="14"/>
      </w:rPr>
      <w:t xml:space="preserve">MHTSdigiXR • KoodaldigiXS • Maanagarram Hi Tech Solutions • Confidential &amp; Proprietary • Page </w:t>
    </w:r>
    <w:r>
      <w:rPr>
        <w:rFonts w:ascii="Calibri" w:cs="Calibri" w:eastAsia="Calibri" w:hAnsi="Calibri"/>
        <w:color w:val="6B7280"/>
        <w:sz w:val="14"/>
        <w:szCs w:val="14"/>
      </w:rPr>
      <w:fldChar w:fldCharType="begin"/>
      <w:instrText xml:space="preserve">PAGE</w:instrText>
      <w:fldChar w:fldCharType="separate"/>
      <w:fldChar w:fldCharType="end"/>
    </w:r>
  </w:p>
  <w:p>
    <w:pPr>
      <w:spacing w:after="40"/>
    </w:pPr>
    <w:r>
      <w:rPr>
        <w:rFonts w:ascii="Calibri" w:cs="Calibri" w:eastAsia="Calibri" w:hAnsi="Calibri"/>
        <w:color w:val="6B7280"/>
        <w:sz w:val="14"/>
        <w:szCs w:val="14"/>
      </w:rPr>
      <w:t xml:space="preserve">No 4056, 5th Main Road, Ayyapakam, Chennai, Tamil Nadu, India – 600077</w:t>
    </w:r>
  </w:p>
  <w:p>
    <w:pPr>
      <w:spacing w:after="40"/>
    </w:pPr>
    <w:r>
      <w:rPr>
        <w:rFonts w:ascii="Calibri" w:cs="Calibri" w:eastAsia="Calibri" w:hAnsi="Calibri"/>
        <w:color w:val="6B7280"/>
        <w:sz w:val="14"/>
        <w:szCs w:val="14"/>
      </w:rPr>
      <w:t xml:space="preserve">Tel: 044-47740195 | Web: www.mhtsdigixr.com • www.koodaldigixs.com | Mob: +91 7358105995 |</w:t>
    </w:r>
  </w:p>
  <w:p>
    <w:r>
      <w:rPr>
        <w:rFonts w:ascii="Calibri" w:cs="Calibri" w:eastAsia="Calibri" w:hAnsi="Calibri"/>
        <w:color w:val="6B7280"/>
        <w:sz w:val="14"/>
        <w:szCs w:val="14"/>
      </w:rPr>
      <w:t xml:space="preserve">GSTIN: 33AMFPR8672L1Z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3810000">
          <wp:simplePos x="0" y="0"/>
          <wp:positionH relativeFrom="page">
            <wp:align>center</wp:align>
          </wp:positionH>
          <wp:positionV relativeFrom="page">
            <wp:align>center</wp:align>
          </wp:positionV>
          <wp:extent cx="3810000" cy="3810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0" cy="3810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7d9cf5b5d8cbf6aadac7adbf1ea1f61655db8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769f63c279b737cdb672533b97ed61dc671740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2026-09-08T07:54:37.736Z</dcterms:created>
  <dcterms:modified xsi:type="dcterms:W3CDTF">2026-09-08T07:54:37.737Z</dcterms:modified>
</cp:coreProperties>
</file>

<file path=docProps/custom.xml><?xml version="1.0" encoding="utf-8"?>
<Properties xmlns="http://schemas.openxmlformats.org/officeDocument/2006/custom-properties" xmlns:vt="http://schemas.openxmlformats.org/officeDocument/2006/docPropsVTypes"/>
</file>