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w:pPr>
        <w:spacing w:after="100" w:before="300"/>
        <w:jc w:val="center"/>
      </w:pPr>
      <w:r>
        <w:rPr>
          <w:rFonts w:ascii="Calibri" w:cs="Calibri" w:eastAsia="Calibri" w:hAnsi="Calibri"/>
          <w:b/>
          <w:bCs/>
          <w:color w:val="2563EB"/>
          <w:spacing w:val="20"/>
          <w:sz w:val="22"/>
          <w:szCs w:val="22"/>
        </w:rPr>
        <w:t xml:space="preserve">SIMULATED EXPERT PASS — INTERNAL USE</w:t>
      </w:r>
    </w:p>
    <w:p>
      <w:pPr>
        <w:spacing w:after="100" w:before="100"/>
        <w:jc w:val="center"/>
      </w:pPr>
      <w:r>
        <w:rPr>
          <w:rFonts w:ascii="Calibri" w:cs="Calibri" w:eastAsia="Calibri" w:hAnsi="Calibri"/>
          <w:b/>
          <w:bCs/>
          <w:color w:val="111827"/>
          <w:sz w:val="40"/>
          <w:szCs w:val="40"/>
        </w:rPr>
        <w:t xml:space="preserve">Independent Security Follow-Up</w:t>
      </w:r>
    </w:p>
    <w:p>
      <w:pPr>
        <w:spacing w:after="400" w:before="0"/>
        <w:jc w:val="center"/>
      </w:pPr>
      <w:r>
        <w:rPr>
          <w:rFonts w:ascii="Calibri" w:cs="Calibri" w:eastAsia="Calibri" w:hAnsi="Calibri"/>
          <w:color w:val="6B7280"/>
          <w:sz w:val="24"/>
          <w:szCs w:val="24"/>
        </w:rPr>
        <w:t xml:space="preserve">A Second-Pass Audit on Top of the Phase 11 Security Review</w:t>
      </w:r>
    </w:p>
    <w:p>
      <w:pPr>
        <w:spacing w:after="60"/>
        <w:jc w:val="center"/>
      </w:pPr>
      <w:r>
        <w:rPr>
          <w:rFonts w:ascii="Calibri" w:cs="Calibri" w:eastAsia="Calibri" w:hAnsi="Calibri"/>
          <w:b/>
          <w:bCs/>
          <w:color w:val="6B7280"/>
          <w:sz w:val="20"/>
          <w:szCs w:val="20"/>
        </w:rPr>
        <w:t xml:space="preserve">Phase: </w:t>
      </w:r>
      <w:r>
        <w:rPr>
          <w:rFonts w:ascii="Calibri" w:cs="Calibri" w:eastAsia="Calibri" w:hAnsi="Calibri"/>
          <w:color w:val="111827"/>
          <w:sz w:val="20"/>
          <w:szCs w:val="20"/>
        </w:rPr>
        <w:t xml:space="preserve">11 — UAT, Security &amp; Compliance Sign-off</w:t>
      </w:r>
    </w:p>
    <w:p>
      <w:pPr>
        <w:spacing w:after="60"/>
        <w:jc w:val="center"/>
      </w:pPr>
      <w:r>
        <w:rPr>
          <w:rFonts w:ascii="Calibri" w:cs="Calibri" w:eastAsia="Calibri" w:hAnsi="Calibri"/>
          <w:b/>
          <w:bCs/>
          <w:color w:val="6B7280"/>
          <w:sz w:val="20"/>
          <w:szCs w:val="20"/>
        </w:rPr>
        <w:t xml:space="preserve">Reviewed against: </w:t>
      </w:r>
      <w:r>
        <w:rPr>
          <w:rFonts w:ascii="Calibri" w:cs="Calibri" w:eastAsia="Calibri" w:hAnsi="Calibri"/>
          <w:color w:val="111827"/>
          <w:sz w:val="20"/>
          <w:szCs w:val="20"/>
        </w:rPr>
        <w:t xml:space="preserve">branch phase11/uat-security-compliance-and-test-harness</w:t>
      </w:r>
    </w:p>
    <w:p>
      <w:pPr>
        <w:spacing w:after="60"/>
        <w:jc w:val="center"/>
      </w:pPr>
      <w:r>
        <w:rPr>
          <w:rFonts w:ascii="Calibri" w:cs="Calibri" w:eastAsia="Calibri" w:hAnsi="Calibri"/>
          <w:b/>
          <w:bCs/>
          <w:color w:val="6B7280"/>
          <w:sz w:val="20"/>
          <w:szCs w:val="20"/>
        </w:rPr>
        <w:t xml:space="preserve">Date: </w:t>
      </w:r>
      <w:r>
        <w:rPr>
          <w:rFonts w:ascii="Calibri" w:cs="Calibri" w:eastAsia="Calibri" w:hAnsi="Calibri"/>
          <w:color w:val="111827"/>
          <w:sz w:val="20"/>
          <w:szCs w:val="20"/>
        </w:rPr>
        <w:t xml:space="preserve">2026-09-08</w:t>
      </w:r>
    </w:p>
    <w:p>
      <w:pPr>
        <w:spacing w:after="60"/>
        <w:jc w:val="center"/>
      </w:pPr>
      <w:r>
        <w:rPr>
          <w:rFonts w:ascii="Calibri" w:cs="Calibri" w:eastAsia="Calibri" w:hAnsi="Calibri"/>
          <w:b/>
          <w:bCs/>
          <w:color w:val="6B7280"/>
          <w:sz w:val="20"/>
          <w:szCs w:val="20"/>
        </w:rPr>
        <w:t xml:space="preserve">Companion document: </w:t>
      </w:r>
      <w:r>
        <w:rPr>
          <w:rFonts w:ascii="Calibri" w:cs="Calibri" w:eastAsia="Calibri" w:hAnsi="Calibri"/>
          <w:color w:val="111827"/>
          <w:sz w:val="20"/>
          <w:szCs w:val="20"/>
        </w:rPr>
        <w:t xml:space="preserve">MHTS-ERP_Phase11_Security_Review.md (the first-pass review this follow-up builds on)</w:t>
      </w:r>
    </w:p>
    <w:p>
      <w:pPr>
        <w:spacing w:before="500"/>
        <w:jc w:val="center"/>
      </w:pPr>
      <w:r>
        <w:rPr>
          <w:rFonts w:ascii="Calibri" w:cs="Calibri" w:eastAsia="Calibri" w:hAnsi="Calibri"/>
          <w:i/>
          <w:iCs/>
          <w:color w:val="2563EB"/>
          <w:sz w:val="18"/>
          <w:szCs w:val="18"/>
        </w:rPr>
        <w:t xml:space="preserve">Voice Your Vision. Scale Your Impact.</w:t>
      </w:r>
    </w:p>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1. What This Document Is — and Is Not</w:t>
      </w:r>
    </w:p>
    <w:tbl>
      <w:tblPr>
        <w:tblW w:type="pct" w:w="100%"/>
        <w:tblBorders>
          <w:top w:val="single" w:color="B91C1C" w:sz="4"/>
          <w:left w:val="single" w:color="B91C1C" w:sz="24"/>
          <w:bottom w:val="single" w:color="B91C1C" w:sz="4"/>
          <w:right w:val="single" w:color="B91C1C" w:sz="4"/>
          <w:insideH w:val="none" w:color="FFFFFF" w:sz="0"/>
          <w:insideV w:val="none" w:color="FFFFFF" w:sz="0"/>
        </w:tblBorders>
      </w:tblPr>
      <w:tblGrid>
        <w:gridCol w:w="100"/>
      </w:tblGrid>
      <w:tr>
        <w:tc>
          <w:tcPr>
            <w:shd w:fill="EFF6FF" w:color="auto" w:val="clear"/>
            <w:tcMar>
              <w:top w:type="dxa" w:w="120"/>
              <w:left w:type="dxa" w:w="180"/>
              <w:bottom w:type="dxa" w:w="120"/>
              <w:right w:type="dxa" w:w="180"/>
            </w:tcMar>
          </w:tcPr>
          <w:p>
            <w:pPr>
              <w:spacing w:after="60"/>
            </w:pPr>
            <w:r>
              <w:rPr>
                <w:rFonts w:ascii="Calibri" w:cs="Calibri" w:eastAsia="Calibri" w:hAnsi="Calibri"/>
                <w:b/>
                <w:bCs/>
                <w:color w:val="B91C1C"/>
                <w:sz w:val="20"/>
                <w:szCs w:val="20"/>
              </w:rPr>
              <w:t xml:space="preserve">Important disclaimer</w:t>
            </w:r>
          </w:p>
          <w:p>
            <w:r>
              <w:rPr>
                <w:rFonts w:ascii="Calibri" w:cs="Calibri" w:eastAsia="Calibri" w:hAnsi="Calibri"/>
                <w:color w:val="111827"/>
                <w:sz w:val="20"/>
                <w:szCs w:val="20"/>
              </w:rPr>
              <w:t xml:space="preserve">This document is a simulated review: Claude was asked to role-play as an experienced cybersecurity professional and perform an independent second pass on top of the existing Phase 11 Security Review, specifically hunting for what that first pass missed or under-weighted. It is NOT a licensed penetration test and creates no assurance beyond its own stated scope. It strengthens the internal review; it does not replace the licensed third-party penetration test the first review already recommended before onboarding a paying customer — that recommendation stands unchanged.</w:t>
            </w:r>
          </w:p>
        </w:tc>
      </w:tr>
    </w:tbl>
    <w:p>
      <w:pPr>
        <w:pStyle w:val="Heading1"/>
        <w:pBdr>
          <w:bottom w:val="single" w:color="2563EB" w:sz="4" w:space="4"/>
        </w:pBdr>
        <w:spacing w:after="160" w:before="360"/>
      </w:pPr>
      <w:r>
        <w:rPr>
          <w:rFonts w:ascii="Calibri" w:cs="Calibri" w:eastAsia="Calibri" w:hAnsi="Calibri"/>
          <w:b/>
          <w:bCs/>
          <w:color w:val="2563EB"/>
          <w:sz w:val="30"/>
          <w:szCs w:val="30"/>
        </w:rPr>
        <w:t xml:space="preserve">2. Scope of This Follow-Up</w:t>
      </w:r>
    </w:p>
    <w:p>
      <w:pPr>
        <w:spacing w:after="140"/>
      </w:pPr>
      <w:r>
        <w:rPr>
          <w:rFonts w:ascii="Calibri" w:cs="Calibri" w:eastAsia="Calibri" w:hAnsi="Calibri"/>
          <w:color w:val="111827"/>
          <w:sz w:val="21"/>
          <w:szCs w:val="21"/>
        </w:rPr>
        <w:t xml:space="preserve">The first review covered: authentication and key management (core-identity), the Electron IPC boundary, SQL construction across every handler, audit-trail tamper-resistance, the license/RBAC surface, and a secrets scan. It explicitly deferred dependency CVEs ("a standard npm audit/Dependabot-style scan is a separate, ongoing exercise") and explicitly scoped out the print-rendering pipeline entirely (not mentioned anywhere in its Section 1).</w:t>
      </w:r>
    </w:p>
    <w:p>
      <w:pPr>
        <w:spacing w:after="140"/>
      </w:pPr>
      <w:r>
        <w:rPr>
          <w:rFonts w:ascii="Calibri" w:cs="Calibri" w:eastAsia="Calibri" w:hAnsi="Calibri"/>
          <w:color w:val="111827"/>
          <w:sz w:val="21"/>
          <w:szCs w:val="21"/>
        </w:rPr>
        <w:t xml:space="preserve">This pass targeted exactly those two gaps, plus independently re-verifying three of the first review’s own specific factual claims rather than taking them at face value — the standard discipline of a second reviewer.</w:t>
      </w:r>
    </w:p>
    <w:p>
      <w:pPr>
        <w:pStyle w:val="ListParagraph"/>
        <w:numPr>
          <w:ilvl w:val="0"/>
          <w:numId w:val="1"/>
        </w:numPr>
        <w:spacing w:after="80"/>
      </w:pPr>
      <w:r>
        <w:rPr>
          <w:rFonts w:ascii="Calibri" w:cs="Calibri" w:eastAsia="Calibri" w:hAnsi="Calibri"/>
          <w:color w:val="111827"/>
          <w:sz w:val="21"/>
          <w:szCs w:val="21"/>
        </w:rPr>
        <w:t xml:space="preserve">Ran a real npm audit against the actual lockfile (Section 4).</w:t>
      </w:r>
    </w:p>
    <w:p>
      <w:pPr>
        <w:pStyle w:val="ListParagraph"/>
        <w:numPr>
          <w:ilvl w:val="0"/>
          <w:numId w:val="1"/>
        </w:numPr>
        <w:spacing w:after="80"/>
      </w:pPr>
      <w:r>
        <w:rPr>
          <w:rFonts w:ascii="Calibri" w:cs="Calibri" w:eastAsia="Calibri" w:hAnsi="Calibri"/>
          <w:color w:val="111827"/>
          <w:sz w:val="21"/>
          <w:szCs w:val="21"/>
        </w:rPr>
        <w:t xml:space="preserve">Read apps/print-templates/src in full — the HTML-generation pipeline the first review never scoped in.</w:t>
      </w:r>
    </w:p>
    <w:p>
      <w:pPr>
        <w:pStyle w:val="ListParagraph"/>
        <w:numPr>
          <w:ilvl w:val="0"/>
          <w:numId w:val="1"/>
        </w:numPr>
        <w:spacing w:after="80"/>
      </w:pPr>
      <w:r>
        <w:rPr>
          <w:rFonts w:ascii="Calibri" w:cs="Calibri" w:eastAsia="Calibri" w:hAnsi="Calibri"/>
          <w:color w:val="111827"/>
          <w:sz w:val="21"/>
          <w:szCs w:val="21"/>
        </w:rPr>
        <w:t xml:space="preserve">Re-verified the "exactly one raw sql-tagged usage outside migrations" claim by independently grepping the whole repo.</w:t>
      </w:r>
    </w:p>
    <w:p>
      <w:pPr>
        <w:pStyle w:val="ListParagraph"/>
        <w:numPr>
          <w:ilvl w:val="0"/>
          <w:numId w:val="1"/>
        </w:numPr>
        <w:spacing w:after="80"/>
      </w:pPr>
      <w:r>
        <w:rPr>
          <w:rFonts w:ascii="Calibri" w:cs="Calibri" w:eastAsia="Calibri" w:hAnsi="Calibri"/>
          <w:color w:val="111827"/>
          <w:sz w:val="21"/>
          <w:szCs w:val="21"/>
        </w:rPr>
        <w:t xml:space="preserve">Compared the main application window's webPreferences against the print pipeline's hidden window's webPreferences — the first review flagged sandbox: false as undocumented but didn't compare it against the one other BrowserWindow this app creates.</w:t>
      </w:r>
    </w:p>
    <w:p>
      <w:pPr>
        <w:pStyle w:val="ListParagraph"/>
        <w:numPr>
          <w:ilvl w:val="0"/>
          <w:numId w:val="1"/>
        </w:numPr>
        <w:spacing w:after="80"/>
      </w:pPr>
      <w:r>
        <w:rPr>
          <w:rFonts w:ascii="Calibri" w:cs="Calibri" w:eastAsia="Calibri" w:hAnsi="Calibri"/>
          <w:color w:val="111827"/>
          <w:sz w:val="21"/>
          <w:szCs w:val="21"/>
        </w:rPr>
        <w:t xml:space="preserve">Spot-checked the password-hash verification path (packages/core-identity/src/password.ts) for a class of gap that's easy to miss: whether stored-hash parameters are trusted at verify time.</w:t>
      </w:r>
    </w:p>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3. Findings</w:t>
      </w:r>
    </w:p>
    <w:p>
      <w:pPr>
        <w:pStyle w:val="Heading2"/>
        <w:spacing w:after="120" w:before="260"/>
      </w:pPr>
      <w:r>
        <w:rPr>
          <w:rFonts w:ascii="Calibri" w:cs="Calibri" w:eastAsia="Calibri" w:hAnsi="Calibri"/>
          <w:b/>
          <w:bCs/>
          <w:color w:val="111827"/>
          <w:sz w:val="24"/>
          <w:szCs w:val="24"/>
        </w:rPr>
        <w:t xml:space="preserve">G1 — The first review's SQL-injection sweep undercounted its own findings by two (conclusion unchanged, wording was not exact)</w:t>
      </w:r>
    </w:p>
    <w:p>
      <w:pPr>
        <w:spacing w:after="140"/>
      </w:pPr>
      <w:r>
        <w:rPr>
          <w:rFonts w:ascii="Calibri" w:cs="Calibri" w:eastAsia="Calibri" w:hAnsi="Calibri"/>
          <w:color w:val="111827"/>
          <w:sz w:val="21"/>
          <w:szCs w:val="21"/>
        </w:rPr>
        <w:t xml:space="preserve">Severity: </w:t>
      </w:r>
      <w:r>
        <w:rPr>
          <w:rFonts w:ascii="Calibri" w:cs="Calibri" w:eastAsia="Calibri" w:hAnsi="Calibri"/>
          <w:b/>
          <w:bCs/>
          <w:color w:val="15803D"/>
          <w:sz w:val="21"/>
          <w:szCs w:val="21"/>
        </w:rPr>
        <w:t xml:space="preserve">Info</w:t>
      </w:r>
      <w:r>
        <w:rPr>
          <w:rFonts w:ascii="Calibri" w:cs="Calibri" w:eastAsia="Calibri" w:hAnsi="Calibri"/>
          <w:color w:val="111827"/>
          <w:sz w:val="21"/>
          <w:szCs w:val="21"/>
        </w:rPr>
        <w:t xml:space="preserve">  —  Type: Re-verification, first-pass reporting accuracy</w:t>
      </w:r>
    </w:p>
    <w:p>
      <w:pPr>
        <w:spacing w:after="140"/>
      </w:pPr>
      <w:r>
        <w:rPr>
          <w:rFonts w:ascii="Calibri" w:cs="Calibri" w:eastAsia="Calibri" w:hAnsi="Calibri"/>
          <w:color w:val="111827"/>
          <w:sz w:val="21"/>
          <w:szCs w:val="21"/>
        </w:rPr>
        <w:t xml:space="preserve">The first review states: "A full-repo grep for sql`...` template-literal usage... found exactly one hit outside migration files (backupHandlers.ts's sql`SELECT 1`)." An independent repeat of that same grep in this pass found three, not one:</w:t>
      </w:r>
    </w:p>
    <w:p>
      <w:pPr>
        <w:pStyle w:val="ListParagraph"/>
        <w:numPr>
          <w:ilvl w:val="0"/>
          <w:numId w:val="1"/>
        </w:numPr>
        <w:spacing w:after="80"/>
      </w:pPr>
      <w:r>
        <w:rPr>
          <w:rFonts w:ascii="Calibri" w:cs="Calibri" w:eastAsia="Calibri" w:hAnsi="Calibri"/>
          <w:color w:val="111827"/>
          <w:sz w:val="21"/>
          <w:szCs w:val="21"/>
        </w:rPr>
        <w:t xml:space="preserve">apps/desktop-shell/src/main/backupHandlers.ts:93 — sql`SELECT 1` (the one the first review named).</w:t>
      </w:r>
    </w:p>
    <w:p>
      <w:pPr>
        <w:pStyle w:val="ListParagraph"/>
        <w:numPr>
          <w:ilvl w:val="0"/>
          <w:numId w:val="1"/>
        </w:numPr>
        <w:spacing w:after="80"/>
      </w:pPr>
      <w:r>
        <w:rPr>
          <w:rFonts w:ascii="Calibri" w:cs="Calibri" w:eastAsia="Calibri" w:hAnsi="Calibri"/>
          <w:color w:val="111827"/>
          <w:sz w:val="21"/>
          <w:szCs w:val="21"/>
        </w:rPr>
        <w:t xml:space="preserve">packages/core-inventory/src/stockLayers.ts:60 — sql`rowid` used inside an .orderBy() call.</w:t>
      </w:r>
    </w:p>
    <w:p>
      <w:pPr>
        <w:pStyle w:val="ListParagraph"/>
        <w:numPr>
          <w:ilvl w:val="0"/>
          <w:numId w:val="1"/>
        </w:numPr>
        <w:spacing w:after="80"/>
      </w:pPr>
      <w:r>
        <w:rPr>
          <w:rFonts w:ascii="Calibri" w:cs="Calibri" w:eastAsia="Calibri" w:hAnsi="Calibri"/>
          <w:color w:val="111827"/>
          <w:sz w:val="21"/>
          <w:szCs w:val="21"/>
        </w:rPr>
        <w:t xml:space="preserve">packages/core-rules-engine/src/ruleSet.ts:112 — sql`CASE WHEN jurisdiction IS NOT NULL THEN 0 ELSE 1 END` inside an .orderBy() call.</w:t>
      </w:r>
    </w:p>
    <w:p>
      <w:pPr>
        <w:spacing w:after="140"/>
      </w:pPr>
      <w:r>
        <w:rPr>
          <w:rFonts w:ascii="Calibri" w:cs="Calibri" w:eastAsia="Calibri" w:hAnsi="Calibri"/>
          <w:color w:val="111827"/>
          <w:sz w:val="21"/>
          <w:szCs w:val="21"/>
        </w:rPr>
        <w:t xml:space="preserve">The underlying security conclusion still holds — all three are hardcoded literal SQL fragments with zero interpolated variables, so none are exploitable, and no handler anywhere accepts a raw SQL fragment from the renderer. But the first review's specific count was incomplete. Recommend correcting the wording in the original document from "exactly one" to "three, all hardcoded literals" so a future reader re-running the same grep doesn't lose confidence in the rest of the review over an avoidable factual slip.</w:t>
      </w:r>
    </w:p>
    <w:p>
      <w:pPr>
        <w:pStyle w:val="Heading2"/>
        <w:spacing w:after="120" w:before="260"/>
      </w:pPr>
      <w:r>
        <w:rPr>
          <w:rFonts w:ascii="Calibri" w:cs="Calibri" w:eastAsia="Calibri" w:hAnsi="Calibri"/>
          <w:b/>
          <w:bCs/>
          <w:color w:val="111827"/>
          <w:sz w:val="24"/>
          <w:szCs w:val="24"/>
        </w:rPr>
        <w:t xml:space="preserve">G2 (New) — The print-template custom-layout renderer was never in the first review's scope, and has one real (low-severity) gap</w:t>
      </w:r>
    </w:p>
    <w:p>
      <w:pPr>
        <w:spacing w:after="140"/>
      </w:pPr>
      <w:r>
        <w:rPr>
          <w:rFonts w:ascii="Calibri" w:cs="Calibri" w:eastAsia="Calibri" w:hAnsi="Calibri"/>
          <w:color w:val="111827"/>
          <w:sz w:val="21"/>
          <w:szCs w:val="21"/>
        </w:rPr>
        <w:t xml:space="preserve">Severity: </w:t>
      </w:r>
      <w:r>
        <w:rPr>
          <w:rFonts w:ascii="Calibri" w:cs="Calibri" w:eastAsia="Calibri" w:hAnsi="Calibri"/>
          <w:b/>
          <w:bCs/>
          <w:color w:val="15803D"/>
          <w:sz w:val="21"/>
          <w:szCs w:val="21"/>
        </w:rPr>
        <w:t xml:space="preserve">Low</w:t>
      </w:r>
      <w:r>
        <w:rPr>
          <w:rFonts w:ascii="Calibri" w:cs="Calibri" w:eastAsia="Calibri" w:hAnsi="Calibri"/>
          <w:color w:val="111827"/>
          <w:sz w:val="21"/>
          <w:szCs w:val="21"/>
        </w:rPr>
        <w:t xml:space="preserve">  —  Type: HTML/CSS attribute injection, out-of-scope discovery</w:t>
      </w:r>
    </w:p>
    <w:p>
      <w:pPr>
        <w:spacing w:after="140"/>
      </w:pPr>
      <w:r>
        <w:rPr>
          <w:rFonts w:ascii="Calibri" w:cs="Calibri" w:eastAsia="Calibri" w:hAnsi="Calibri"/>
          <w:color w:val="111827"/>
          <w:sz w:val="21"/>
          <w:szCs w:val="21"/>
        </w:rPr>
        <w:t xml:space="preserve">apps/print-templates/src/customLayoutRenderer.ts renders a company's user-designed invoice/payslip/voucher layout (print_template_layout.layout_json, a company-DB row) into HTML for printing. Every piece of TEXT content is correctly passed through escapeHtml() — this part is done right, and consistently, across every template file in the package. But styleToCss() interpolates layout-authored style values (colorHex, fontWeight, align, fontSizePx) directly into an inline style="..." attribute with no escaping and no format validation:</w:t>
      </w:r>
    </w:p>
    <w:p>
      <w:pPr>
        <w:pStyle w:val="ListParagraph"/>
        <w:numPr>
          <w:ilvl w:val="0"/>
          <w:numId w:val="1"/>
        </w:numPr>
        <w:spacing w:after="80"/>
      </w:pPr>
      <w:r>
        <w:rPr>
          <w:rFonts w:ascii="Calibri" w:cs="Calibri" w:eastAsia="Calibri" w:hAnsi="Calibri"/>
          <w:color w:val="111827"/>
          <w:sz w:val="21"/>
          <w:szCs w:val="21"/>
        </w:rPr>
        <w:t xml:space="preserve">if (style?.colorHex) parts.push(`color:${style.colorHex}`); — colorHex is never checked against a #rrggbb pattern before being concatenated into the attribute string.</w:t>
      </w:r>
    </w:p>
    <w:p>
      <w:pPr>
        <w:spacing w:after="140"/>
      </w:pPr>
      <w:r>
        <w:rPr>
          <w:rFonts w:ascii="Calibri" w:cs="Calibri" w:eastAsia="Calibri" w:hAnsi="Calibri"/>
          <w:color w:val="111827"/>
          <w:sz w:val="21"/>
          <w:szCs w:val="21"/>
        </w:rPr>
        <w:t xml:space="preserve">A layout_json row containing a colorHex value with an embedded quote character could, in principle, break out of the style="" attribute and inject additional HTML into the rendered print document. In practice this is low severity for three independent reasons: (1) the only writer of this table today is the gated Template Designer UI (PRINT.MANAGE_LETTERHEAD permission), not free-form user text; (2) the rendered HTML is loaded into the print pipeline's own hidden BrowserWindow, which — see G3 below — already runs with sandbox: true and no preload script, so even a successful HTML injection has no Node/IPC surface to reach; (3) the worst realistic outcome is a malformed-looking printed page, not code execution. Still worth closing as defense-in-depth: validate colorHex against /^#[0-9a-fA-F]{3,8}$/ (or route it through escapeHtml like every other value) before it reaches the template string, and validate fontWeight/align against their known enum values rather than trusting the stored JSON's shape.</w:t>
      </w:r>
    </w:p>
    <w:p>
      <w:pPr>
        <w:pStyle w:val="Heading2"/>
        <w:spacing w:after="120" w:before="260"/>
      </w:pPr>
      <w:r>
        <w:rPr>
          <w:rFonts w:ascii="Calibri" w:cs="Calibri" w:eastAsia="Calibri" w:hAnsi="Calibri"/>
          <w:b/>
          <w:bCs/>
          <w:color w:val="111827"/>
          <w:sz w:val="24"/>
          <w:szCs w:val="24"/>
        </w:rPr>
        <w:t xml:space="preserve">G3 (New) — The main window's sandbox: false and the print window's sandbox: true are inconsistent, and the inconsistency looks avoidable</w:t>
      </w:r>
    </w:p>
    <w:p>
      <w:pPr>
        <w:spacing w:after="140"/>
      </w:pPr>
      <w:r>
        <w:rPr>
          <w:rFonts w:ascii="Calibri" w:cs="Calibri" w:eastAsia="Calibri" w:hAnsi="Calibri"/>
          <w:color w:val="111827"/>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111827"/>
          <w:sz w:val="21"/>
          <w:szCs w:val="21"/>
        </w:rPr>
        <w:t xml:space="preserve">  —  Type: Hardening gap, reinforces an already-flagged item with a concrete next step</w:t>
      </w:r>
    </w:p>
    <w:p>
      <w:pPr>
        <w:spacing w:after="140"/>
      </w:pPr>
      <w:r>
        <w:rPr>
          <w:rFonts w:ascii="Calibri" w:cs="Calibri" w:eastAsia="Calibri" w:hAnsi="Calibri"/>
          <w:color w:val="111827"/>
          <w:sz w:val="21"/>
          <w:szCs w:val="21"/>
        </w:rPr>
        <w:t xml:space="preserve">The first review flagged sandbox: false on the main BrowserWindow as "present but undocumented as a deliberate choice" and left it as an open question. This pass compared it against the ONLY other BrowserWindow this app creates — printHandlers.ts's hidden print/PDF window, which is configured with sandbox: true and, notably, no preload script at all.</w:t>
      </w:r>
    </w:p>
    <w:p>
      <w:pPr>
        <w:spacing w:after="140"/>
      </w:pPr>
      <w:r>
        <w:rPr>
          <w:rFonts w:ascii="Calibri" w:cs="Calibri" w:eastAsia="Calibri" w:hAnsi="Calibri"/>
          <w:color w:val="111827"/>
          <w:sz w:val="21"/>
          <w:szCs w:val="21"/>
        </w:rPr>
        <w:t xml:space="preserve">Both windows already rely exclusively on contextBridge for anything the renderer needs from the main process (the main window via its own preload, the print window needing nothing since it only renders and prints static HTML). Neither window's architecture appears to depend on a capability that Electron's OS-level sandbox would remove. That the print window already runs sandboxed with zero apparent downside is a good existence proof that the main window likely could too. Recommend this be resolved as an actual test (flip sandbox: true on the main window, run the full click-through/regression pass, see what — if anything — breaks) rather than staying an open documentation question indefinitely.</w:t>
      </w:r>
    </w:p>
    <w:p>
      <w:pPr>
        <w:pStyle w:val="Heading2"/>
        <w:spacing w:after="120" w:before="260"/>
      </w:pPr>
      <w:r>
        <w:rPr>
          <w:rFonts w:ascii="Calibri" w:cs="Calibri" w:eastAsia="Calibri" w:hAnsi="Calibri"/>
          <w:b/>
          <w:bCs/>
          <w:color w:val="111827"/>
          <w:sz w:val="24"/>
          <w:szCs w:val="24"/>
        </w:rPr>
        <w:t xml:space="preserve">G4 (New) — No Content-Security-Policy is set for the renderer, in either window</w:t>
      </w:r>
    </w:p>
    <w:p>
      <w:pPr>
        <w:spacing w:after="140"/>
      </w:pPr>
      <w:r>
        <w:rPr>
          <w:rFonts w:ascii="Calibri" w:cs="Calibri" w:eastAsia="Calibri" w:hAnsi="Calibri"/>
          <w:color w:val="111827"/>
          <w:sz w:val="21"/>
          <w:szCs w:val="21"/>
        </w:rPr>
        <w:t xml:space="preserve">Severity: </w:t>
      </w:r>
      <w:r>
        <w:rPr>
          <w:rFonts w:ascii="Calibri" w:cs="Calibri" w:eastAsia="Calibri" w:hAnsi="Calibri"/>
          <w:b/>
          <w:bCs/>
          <w:color w:val="15803D"/>
          <w:sz w:val="21"/>
          <w:szCs w:val="21"/>
        </w:rPr>
        <w:t xml:space="preserve">Low</w:t>
      </w:r>
      <w:r>
        <w:rPr>
          <w:rFonts w:ascii="Calibri" w:cs="Calibri" w:eastAsia="Calibri" w:hAnsi="Calibri"/>
          <w:color w:val="111827"/>
          <w:sz w:val="21"/>
          <w:szCs w:val="21"/>
        </w:rPr>
        <w:t xml:space="preserve">  —  Type: Defense-in-depth gap</w:t>
      </w:r>
    </w:p>
    <w:p>
      <w:pPr>
        <w:spacing w:after="140"/>
      </w:pPr>
      <w:r>
        <w:rPr>
          <w:rFonts w:ascii="Calibri" w:cs="Calibri" w:eastAsia="Calibri" w:hAnsi="Calibri"/>
          <w:color w:val="111827"/>
          <w:sz w:val="21"/>
          <w:szCs w:val="21"/>
        </w:rPr>
        <w:t xml:space="preserve">Neither the main renderer (index.html) nor any main-process response header sets a Content-Security-Policy. Severity is low precisely because this app never loads remote content — the main window loads a local file or a local dev server, and the print window loads a data: URL built entirely from this app's own escaped HTML. There is no untrusted third-party origin in this app's threat model today. But Electron's own security checklist recommends a CSP as a standing, cheap, complementary layer regardless — if a future feature ever loads any remote resource (a font, an update-check page, an embedded webview), a CSP already in place is a safety net that costs nothing to add now and something to retrofit correctly under pressure later. Recommend a strict default-src 'self' policy via a session.defaultSession.webRequest.onHeadersReceived handler.</w:t>
      </w:r>
    </w:p>
    <w:p>
      <w:pPr>
        <w:pStyle w:val="Heading2"/>
        <w:spacing w:after="120" w:before="260"/>
      </w:pPr>
      <w:r>
        <w:rPr>
          <w:rFonts w:ascii="Calibri" w:cs="Calibri" w:eastAsia="Calibri" w:hAnsi="Calibri"/>
          <w:b/>
          <w:bCs/>
          <w:color w:val="111827"/>
          <w:sz w:val="24"/>
          <w:szCs w:val="24"/>
        </w:rPr>
        <w:t xml:space="preserve">G5 — Stored password-hash cost parameters are trusted at verify time (very low severity, noted for completeness)</w:t>
      </w:r>
    </w:p>
    <w:p>
      <w:pPr>
        <w:spacing w:after="140"/>
      </w:pPr>
      <w:r>
        <w:rPr>
          <w:rFonts w:ascii="Calibri" w:cs="Calibri" w:eastAsia="Calibri" w:hAnsi="Calibri"/>
          <w:color w:val="111827"/>
          <w:sz w:val="21"/>
          <w:szCs w:val="21"/>
        </w:rPr>
        <w:t xml:space="preserve">Severity: </w:t>
      </w:r>
      <w:r>
        <w:rPr>
          <w:rFonts w:ascii="Calibri" w:cs="Calibri" w:eastAsia="Calibri" w:hAnsi="Calibri"/>
          <w:b/>
          <w:bCs/>
          <w:color w:val="15803D"/>
          <w:sz w:val="21"/>
          <w:szCs w:val="21"/>
        </w:rPr>
        <w:t xml:space="preserve">Info</w:t>
      </w:r>
      <w:r>
        <w:rPr>
          <w:rFonts w:ascii="Calibri" w:cs="Calibri" w:eastAsia="Calibri" w:hAnsi="Calibri"/>
          <w:color w:val="111827"/>
          <w:sz w:val="21"/>
          <w:szCs w:val="21"/>
        </w:rPr>
        <w:t xml:space="preserve">  —  Type: Theoretical DoS, requires pre-existing DB compromise</w:t>
      </w:r>
    </w:p>
    <w:p>
      <w:pPr>
        <w:spacing w:after="140"/>
      </w:pPr>
      <w:r>
        <w:rPr>
          <w:rFonts w:ascii="Calibri" w:cs="Calibri" w:eastAsia="Calibri" w:hAnsi="Calibri"/>
          <w:color w:val="111827"/>
          <w:sz w:val="21"/>
          <w:szCs w:val="21"/>
        </w:rPr>
        <w:t xml:space="preserve">verifyPassword() in packages/core-identity/src/password.ts parses the scrypt cost parameters (N, r, p) out of the STORED hash string itself, rather than a fixed application constant, and passes them straight to scryptSync(). This is the right design for algorithm agility (the file's own comment explains exactly this). But it also means a stored hash value with a crafted, extreme N — reachable only by someone who can already write directly into the encrypted system/company DB, i.e. someone who has already defeated SQLCipher and the OS-keychain-backed key — could make a single login attempt CPU-bound for an extended period, a minor denial-of-service against that one account's login path. Given the attacker already needs write access to the encrypted DB to plant this, this finding is essentially theoretical and not a priority — noted only because clamping N (e.g. reject anything above 2^20) before calling scryptSync costs one line and closes even the theoretical case.</w:t>
      </w:r>
    </w:p>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4. Real npm audit — the item the first review explicitly deferred</w:t>
      </w:r>
    </w:p>
    <w:p>
      <w:pPr>
        <w:spacing w:after="140"/>
      </w:pPr>
      <w:r>
        <w:rPr>
          <w:rFonts w:ascii="Calibri" w:cs="Calibri" w:eastAsia="Calibri" w:hAnsi="Calibri"/>
          <w:color w:val="111827"/>
          <w:sz w:val="21"/>
          <w:szCs w:val="21"/>
        </w:rPr>
        <w:t xml:space="preserve">Ran npm audit against the actual root lockfile. Result: 15 known vulnerabilities across 866 total resolved dependencies (70 production, 797 dev, plus optional/peer) — 1 critical, 12 high, 2 moderate.</w:t>
      </w:r>
    </w:p>
    <w:tbl>
      <w:tblPr>
        <w:tblW w:type="dxa" w:w="9026"/>
        <w:tblBorders>
          <w:top w:val="single" w:color="D1D5DB" w:sz="4"/>
          <w:left w:val="single" w:color="D1D5DB" w:sz="4"/>
          <w:bottom w:val="single" w:color="D1D5DB" w:sz="4"/>
          <w:right w:val="single" w:color="D1D5DB" w:sz="4"/>
          <w:insideH w:val="single" w:color="E5E7EB" w:sz="4"/>
          <w:insideV w:val="single" w:color="E5E7EB" w:sz="4"/>
        </w:tblBorders>
      </w:tblPr>
      <w:tblGrid>
        <w:gridCol w:w="3069"/>
        <w:gridCol w:w="1264"/>
        <w:gridCol w:w="3069"/>
        <w:gridCol w:w="1625"/>
      </w:tblGrid>
      <w:tr>
        <w:trPr>
          <w:tblHeader/>
        </w:trPr>
        <w:tc>
          <w:tcPr>
            <w:tcW w:type="dxa" w:w="3069"/>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Package (advisory root)</w:t>
            </w:r>
          </w:p>
        </w:tc>
        <w:tc>
          <w:tcPr>
            <w:tcW w:type="dxa" w:w="1264"/>
            <w:shd w:fill="2563EB"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Severity</w:t>
            </w:r>
          </w:p>
        </w:tc>
        <w:tc>
          <w:tcPr>
            <w:tcW w:type="dxa" w:w="3069"/>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Nature</w:t>
            </w:r>
          </w:p>
        </w:tc>
        <w:tc>
          <w:tcPr>
            <w:tcW w:type="dxa" w:w="1625"/>
            <w:shd w:fill="2563EB"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Reachable from the shipped app?</w:t>
            </w:r>
          </w:p>
        </w:tc>
      </w:tr>
      <w:tr>
        <w:tc>
          <w:tcPr>
            <w:tcW w:type="dxa" w:w="3069"/>
            <w:shd w:fill="FFFFFF" w:color="auto"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tar</w:t>
            </w:r>
          </w:p>
        </w:tc>
        <w:tc>
          <w:tcPr>
            <w:tcW w:type="dxa" w:w="1264"/>
            <w:shd w:fill="FFFFFF" w:color="auto" w:val="clear"/>
            <w:tcMar>
              <w:top w:type="dxa" w:w="70"/>
              <w:left w:type="dxa" w:w="100"/>
              <w:bottom w:type="dxa" w:w="70"/>
              <w:right w:type="dxa" w:w="100"/>
            </w:tcMar>
          </w:tcPr>
          <w:p>
            <w:pPr>
              <w:jc w:val="center"/>
            </w:pPr>
            <w:r>
              <w:rPr>
                <w:rFonts w:ascii="Calibri" w:cs="Calibri" w:eastAsia="Calibri" w:hAnsi="Calibri"/>
                <w:b/>
                <w:bCs/>
                <w:color w:val="B91C1C"/>
                <w:sz w:val="18"/>
                <w:szCs w:val="18"/>
              </w:rPr>
              <w:t xml:space="preserve">Critical</w:t>
            </w:r>
          </w:p>
        </w:tc>
        <w:tc>
          <w:tcPr>
            <w:tcW w:type="dxa" w:w="306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Hardlink/symlink path traversal, arbitrary file write (11 advisories)</w:t>
            </w:r>
          </w:p>
        </w:tc>
        <w:tc>
          <w:tcPr>
            <w:tcW w:type="dxa" w:w="1625"/>
            <w:shd w:fill="FFFFFF" w:color="auto" w:val="clear"/>
            <w:tcMar>
              <w:top w:type="dxa" w:w="70"/>
              <w:left w:type="dxa" w:w="100"/>
              <w:bottom w:type="dxa" w:w="70"/>
              <w:right w:type="dxa" w:w="100"/>
            </w:tcMar>
          </w:tcPr>
          <w:p>
            <w:pPr>
              <w:jc w:val="center"/>
            </w:pPr>
            <w:r>
              <w:rPr>
                <w:rFonts w:ascii="Calibri" w:cs="Calibri" w:eastAsia="Calibri" w:hAnsi="Calibri"/>
                <w:color w:val="15803D"/>
                <w:sz w:val="18"/>
                <w:szCs w:val="18"/>
              </w:rPr>
              <w:t xml:space="preserve">No — build-time only</w:t>
            </w:r>
          </w:p>
        </w:tc>
      </w:tr>
      <w:tr>
        <w:tc>
          <w:tcPr>
            <w:tcW w:type="dxa" w:w="3069"/>
            <w:shd w:fill="F9FAFB" w:color="auto"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app-builder-lib / electron-builder tree</w:t>
            </w:r>
          </w:p>
        </w:tc>
        <w:tc>
          <w:tcPr>
            <w:tcW w:type="dxa" w:w="1264"/>
            <w:shd w:fill="F9FAFB" w:color="auto" w:val="clear"/>
            <w:tcMar>
              <w:top w:type="dxa" w:w="70"/>
              <w:left w:type="dxa" w:w="100"/>
              <w:bottom w:type="dxa" w:w="70"/>
              <w:right w:type="dxa" w:w="100"/>
            </w:tcMar>
          </w:tcPr>
          <w:p>
            <w:pPr>
              <w:jc w:val="center"/>
            </w:pPr>
            <w:r>
              <w:rPr>
                <w:rFonts w:ascii="Calibri" w:cs="Calibri" w:eastAsia="Calibri" w:hAnsi="Calibri"/>
                <w:b/>
                <w:bCs/>
                <w:color w:val="B91C1C"/>
                <w:sz w:val="18"/>
                <w:szCs w:val="18"/>
              </w:rPr>
              <w:t xml:space="preserve">High</w:t>
            </w:r>
          </w:p>
        </w:tc>
        <w:tc>
          <w:tcPr>
            <w:tcW w:type="dxa" w:w="306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Depends on vulnerable @electron/rebuild, builder-util, tar</w:t>
            </w:r>
          </w:p>
        </w:tc>
        <w:tc>
          <w:tcPr>
            <w:tcW w:type="dxa" w:w="1625"/>
            <w:shd w:fill="F9FAFB" w:color="auto" w:val="clear"/>
            <w:tcMar>
              <w:top w:type="dxa" w:w="70"/>
              <w:left w:type="dxa" w:w="100"/>
              <w:bottom w:type="dxa" w:w="70"/>
              <w:right w:type="dxa" w:w="100"/>
            </w:tcMar>
          </w:tcPr>
          <w:p>
            <w:pPr>
              <w:jc w:val="center"/>
            </w:pPr>
            <w:r>
              <w:rPr>
                <w:rFonts w:ascii="Calibri" w:cs="Calibri" w:eastAsia="Calibri" w:hAnsi="Calibri"/>
                <w:color w:val="15803D"/>
                <w:sz w:val="18"/>
                <w:szCs w:val="18"/>
              </w:rPr>
              <w:t xml:space="preserve">No — packaging tool only</w:t>
            </w:r>
          </w:p>
        </w:tc>
      </w:tr>
      <w:tr>
        <w:tc>
          <w:tcPr>
            <w:tcW w:type="dxa" w:w="3069"/>
            <w:shd w:fill="FFFFFF" w:color="auto"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builder-util-runtime &lt;9.7.0</w:t>
            </w:r>
          </w:p>
        </w:tc>
        <w:tc>
          <w:tcPr>
            <w:tcW w:type="dxa" w:w="1264"/>
            <w:shd w:fill="FFFFFF" w:color="auto" w:val="clear"/>
            <w:tcMar>
              <w:top w:type="dxa" w:w="70"/>
              <w:left w:type="dxa" w:w="100"/>
              <w:bottom w:type="dxa" w:w="70"/>
              <w:right w:type="dxa" w:w="100"/>
            </w:tcMar>
          </w:tcPr>
          <w:p>
            <w:pPr>
              <w:jc w:val="center"/>
            </w:pPr>
            <w:r>
              <w:rPr>
                <w:rFonts w:ascii="Calibri" w:cs="Calibri" w:eastAsia="Calibri" w:hAnsi="Calibri"/>
                <w:b/>
                <w:bCs/>
                <w:color w:val="B91C1C"/>
                <w:sz w:val="18"/>
                <w:szCs w:val="18"/>
              </w:rPr>
              <w:t xml:space="preserve">High</w:t>
            </w:r>
          </w:p>
        </w:tc>
        <w:tc>
          <w:tcPr>
            <w:tcW w:type="dxa" w:w="306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Cross-origin redirect leaks auth tokens (advisory title references electron-updater)</w:t>
            </w:r>
          </w:p>
        </w:tc>
        <w:tc>
          <w:tcPr>
            <w:tcW w:type="dxa" w:w="1625"/>
            <w:shd w:fill="FFFFFF" w:color="auto" w:val="clear"/>
            <w:tcMar>
              <w:top w:type="dxa" w:w="70"/>
              <w:left w:type="dxa" w:w="100"/>
              <w:bottom w:type="dxa" w:w="70"/>
              <w:right w:type="dxa" w:w="100"/>
            </w:tcMar>
          </w:tcPr>
          <w:p>
            <w:pPr>
              <w:jc w:val="center"/>
            </w:pPr>
            <w:r>
              <w:rPr>
                <w:rFonts w:ascii="Calibri" w:cs="Calibri" w:eastAsia="Calibri" w:hAnsi="Calibri"/>
                <w:color w:val="15803D"/>
                <w:sz w:val="18"/>
                <w:szCs w:val="18"/>
              </w:rPr>
              <w:t xml:space="preserve">No — see note below</w:t>
            </w:r>
          </w:p>
        </w:tc>
      </w:tr>
      <w:tr>
        <w:tc>
          <w:tcPr>
            <w:tcW w:type="dxa" w:w="3069"/>
            <w:shd w:fill="F9FAFB" w:color="auto"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esbuild / vite / electron-vite</w:t>
            </w:r>
          </w:p>
        </w:tc>
        <w:tc>
          <w:tcPr>
            <w:tcW w:type="dxa" w:w="1264"/>
            <w:shd w:fill="F9FAFB" w:color="auto" w:val="clear"/>
            <w:tcMar>
              <w:top w:type="dxa" w:w="70"/>
              <w:left w:type="dxa" w:w="100"/>
              <w:bottom w:type="dxa" w:w="70"/>
              <w:right w:type="dxa" w:w="100"/>
            </w:tcMar>
          </w:tcPr>
          <w:p>
            <w:pPr>
              <w:jc w:val="center"/>
            </w:pPr>
            <w:r>
              <w:rPr>
                <w:rFonts w:ascii="Calibri" w:cs="Calibri" w:eastAsia="Calibri" w:hAnsi="Calibri"/>
                <w:b/>
                <w:bCs/>
                <w:color w:val="15803D"/>
                <w:sz w:val="18"/>
                <w:szCs w:val="18"/>
              </w:rPr>
              <w:t xml:space="preserve">Moderate</w:t>
            </w:r>
          </w:p>
        </w:tc>
        <w:tc>
          <w:tcPr>
            <w:tcW w:type="dxa" w:w="306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Dev-server request/response exposure, path traversal in dev tooling</w:t>
            </w:r>
          </w:p>
        </w:tc>
        <w:tc>
          <w:tcPr>
            <w:tcW w:type="dxa" w:w="1625"/>
            <w:shd w:fill="F9FAFB" w:color="auto" w:val="clear"/>
            <w:tcMar>
              <w:top w:type="dxa" w:w="70"/>
              <w:left w:type="dxa" w:w="100"/>
              <w:bottom w:type="dxa" w:w="70"/>
              <w:right w:type="dxa" w:w="100"/>
            </w:tcMar>
          </w:tcPr>
          <w:p>
            <w:pPr>
              <w:jc w:val="center"/>
            </w:pPr>
            <w:r>
              <w:rPr>
                <w:rFonts w:ascii="Calibri" w:cs="Calibri" w:eastAsia="Calibri" w:hAnsi="Calibri"/>
                <w:color w:val="15803D"/>
                <w:sz w:val="18"/>
                <w:szCs w:val="18"/>
              </w:rPr>
              <w:t xml:space="preserve">No — dev-server only</w:t>
            </w:r>
          </w:p>
        </w:tc>
      </w:tr>
    </w:tbl>
    <w:p>
      <w:pPr>
        <w:spacing w:after="120"/>
      </w:pPr>
    </w:p>
    <w:tbl>
      <w:tblPr>
        <w:tblW w:type="pct" w:w="100%"/>
        <w:tblBorders>
          <w:top w:val="single" w:color="15803D" w:sz="4"/>
          <w:left w:val="single" w:color="15803D" w:sz="24"/>
          <w:bottom w:val="single" w:color="15803D" w:sz="4"/>
          <w:right w:val="single" w:color="15803D" w:sz="4"/>
          <w:insideH w:val="none" w:color="FFFFFF" w:sz="0"/>
          <w:insideV w:val="none" w:color="FFFFFF" w:sz="0"/>
        </w:tblBorders>
      </w:tblPr>
      <w:tblGrid>
        <w:gridCol w:w="100"/>
      </w:tblGrid>
      <w:tr>
        <w:tc>
          <w:tcPr>
            <w:shd w:fill="EFF6FF" w:color="auto" w:val="clear"/>
            <w:tcMar>
              <w:top w:type="dxa" w:w="120"/>
              <w:left w:type="dxa" w:w="180"/>
              <w:bottom w:type="dxa" w:w="120"/>
              <w:right w:type="dxa" w:w="180"/>
            </w:tcMar>
          </w:tcPr>
          <w:p>
            <w:pPr>
              <w:spacing w:after="60"/>
            </w:pPr>
            <w:r>
              <w:rPr>
                <w:rFonts w:ascii="Calibri" w:cs="Calibri" w:eastAsia="Calibri" w:hAnsi="Calibri"/>
                <w:b/>
                <w:bCs/>
                <w:color w:val="15803D"/>
                <w:sz w:val="20"/>
                <w:szCs w:val="20"/>
              </w:rPr>
              <w:t xml:space="preserve">The one finding worth double-checking by name — and why it's a false alarm here</w:t>
            </w:r>
          </w:p>
          <w:p>
            <w:r>
              <w:rPr>
                <w:rFonts w:ascii="Calibri" w:cs="Calibri" w:eastAsia="Calibri" w:hAnsi="Calibri"/>
                <w:color w:val="111827"/>
                <w:sz w:val="20"/>
                <w:szCs w:val="20"/>
              </w:rPr>
              <w:t xml:space="preserve">The builder-util-runtime advisory's own title says "electron-updater," which sounds like it hits the runtime auto-update code this app actually ships. It doesn't: npm ls confirms electron-updater@6.8.9 (the version this app depends on directly) resolves its OWN copy of builder-util-runtime to 9.7.0 — already patched. The vulnerable 9.2.10 copy exists ONLY inside electron-builder's separate dependency tree, and electron-builder is a devDependency used exclusively at packaging time (npm run package:win/mac/linux) — it is never bundled into the app.asar that ships to a customer, the same "workspace packages get bundled, dev tools don't" boundary Phase 10's own packaging work already established for a different reason.</w:t>
            </w:r>
          </w:p>
        </w:tc>
      </w:tr>
    </w:tbl>
    <w:p>
      <w:pPr>
        <w:spacing w:after="140"/>
      </w:pPr>
      <w:r>
        <w:rPr>
          <w:rFonts w:ascii="Calibri" w:cs="Calibri" w:eastAsia="Calibri" w:hAnsi="Calibri"/>
          <w:color w:val="111827"/>
          <w:sz w:val="21"/>
          <w:szCs w:val="21"/>
        </w:rPr>
        <w:t xml:space="preserve">Bottom line: zero of the 15 findings are reachable through the packaged application a customer actually runs. All 15 live in the build/packaging toolchain (electron-builder, electron-vite, vite, esbuild) and its own transitive dependencies (tar, node-gyp, cacache, make-fetch-happen). That said, this is not nothing — it is real supply-chain exposure to the BUILD MACHINE itself: the critical tar path-traversal chain could, in principle, be triggered by something electron-builder or node-gyp extracts during a package/rebuild step on a compromised or untrusted build environment. Recommendations:</w:t>
      </w:r>
    </w:p>
    <w:p>
      <w:pPr>
        <w:pStyle w:val="ListParagraph"/>
        <w:numPr>
          <w:ilvl w:val="0"/>
          <w:numId w:val="1"/>
        </w:numPr>
        <w:spacing w:after="80"/>
      </w:pPr>
      <w:r>
        <w:rPr>
          <w:rFonts w:ascii="Calibri" w:cs="Calibri" w:eastAsia="Calibri" w:hAnsi="Calibri"/>
          <w:color w:val="111827"/>
          <w:sz w:val="21"/>
          <w:szCs w:val="21"/>
        </w:rPr>
        <w:t xml:space="preserve">Treat the build/release machine as a sensitive asset — a clean, network-restricted environment for `npm run package:*`/`npm run release`, not a general-purpose dev box, is worth the discipline once real releases start publishing (already gated on GH_TOKEN per Phase 10's own Open Questions).</w:t>
      </w:r>
    </w:p>
    <w:p>
      <w:pPr>
        <w:pStyle w:val="ListParagraph"/>
        <w:numPr>
          <w:ilvl w:val="0"/>
          <w:numId w:val="1"/>
        </w:numPr>
        <w:spacing w:after="80"/>
      </w:pPr>
      <w:r>
        <w:rPr>
          <w:rFonts w:ascii="Calibri" w:cs="Calibri" w:eastAsia="Calibri" w:hAnsi="Calibri"/>
          <w:color w:val="111827"/>
          <w:sz w:val="21"/>
          <w:szCs w:val="21"/>
        </w:rPr>
        <w:t xml:space="preserve">`npm audit fix` alone will not resolve any of these — every fix path requires a major version bump (electron-builder 25→26, vite 5→8) per npm's own dependency resolution. Track this as a deliberate, tested upgrade rather than an urgent patch, since it is not customer-reachable today.</w:t>
      </w:r>
    </w:p>
    <w:p>
      <w:pPr>
        <w:pStyle w:val="ListParagraph"/>
        <w:numPr>
          <w:ilvl w:val="0"/>
          <w:numId w:val="1"/>
        </w:numPr>
        <w:spacing w:after="80"/>
      </w:pPr>
      <w:r>
        <w:rPr>
          <w:rFonts w:ascii="Calibri" w:cs="Calibri" w:eastAsia="Calibri" w:hAnsi="Calibri"/>
          <w:color w:val="111827"/>
          <w:sz w:val="21"/>
          <w:szCs w:val="21"/>
        </w:rPr>
        <w:t xml:space="preserve">Re-run this exact audit before every `npm run release` — a build-tool CVE landing between now and a real release is the kind of thing that's cheap to catch here and expensive to discover after the fact.</w:t>
      </w:r>
    </w:p>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5. What the First Review Got Right (independently re-confirmed, not just re-read)</w:t>
      </w:r>
    </w:p>
    <w:p>
      <w:pPr>
        <w:pStyle w:val="ListParagraph"/>
        <w:numPr>
          <w:ilvl w:val="0"/>
          <w:numId w:val="1"/>
        </w:numPr>
        <w:spacing w:after="80"/>
      </w:pPr>
      <w:r>
        <w:rPr>
          <w:rFonts w:ascii="Calibri" w:cs="Calibri" w:eastAsia="Calibri" w:hAnsi="Calibri"/>
          <w:color w:val="111827"/>
          <w:sz w:val="21"/>
          <w:szCs w:val="21"/>
        </w:rPr>
        <w:t xml:space="preserve">The RBAC guard consolidation (requireSessionWithCompanyDb in session.ts) — spot-checked against three of the fourteen original handler files; the consolidation is a faithful, behavior-preserving extraction.</w:t>
      </w:r>
    </w:p>
    <w:p>
      <w:pPr>
        <w:pStyle w:val="ListParagraph"/>
        <w:numPr>
          <w:ilvl w:val="0"/>
          <w:numId w:val="1"/>
        </w:numPr>
        <w:spacing w:after="80"/>
      </w:pPr>
      <w:r>
        <w:rPr>
          <w:rFonts w:ascii="Calibri" w:cs="Calibri" w:eastAsia="Calibri" w:hAnsi="Calibri"/>
          <w:color w:val="111827"/>
          <w:sz w:val="21"/>
          <w:szCs w:val="21"/>
        </w:rPr>
        <w:t xml:space="preserve">verifyAuditChain()'s tamper-detection logic — read against its own five tests; the hash-chain walk and forged-hash/broken-prev_hash detection cases are correctly implemented.</w:t>
      </w:r>
    </w:p>
    <w:p>
      <w:pPr>
        <w:pStyle w:val="ListParagraph"/>
        <w:numPr>
          <w:ilvl w:val="0"/>
          <w:numId w:val="1"/>
        </w:numPr>
        <w:spacing w:after="80"/>
      </w:pPr>
      <w:r>
        <w:rPr>
          <w:rFonts w:ascii="Calibri" w:cs="Calibri" w:eastAsia="Calibri" w:hAnsi="Calibri"/>
          <w:color w:val="111827"/>
          <w:sz w:val="21"/>
          <w:szCs w:val="21"/>
        </w:rPr>
        <w:t xml:space="preserve">The Ed25519 license verification path (packages/core-licensing/src/license.ts) — uses node:crypto's verify(null, ...) correctly for Ed25519, checks the signature before trusting any field in the payload, and fails closed on both a bad signature and an expired date.</w:t>
      </w:r>
    </w:p>
    <w:p>
      <w:pPr>
        <w:pStyle w:val="ListParagraph"/>
        <w:numPr>
          <w:ilvl w:val="0"/>
          <w:numId w:val="1"/>
        </w:numPr>
        <w:spacing w:after="80"/>
      </w:pPr>
      <w:r>
        <w:rPr>
          <w:rFonts w:ascii="Calibri" w:cs="Calibri" w:eastAsia="Calibri" w:hAnsi="Calibri"/>
          <w:color w:val="111827"/>
          <w:sz w:val="21"/>
          <w:szCs w:val="21"/>
        </w:rPr>
        <w:t xml:space="preserve">The account-lockout/backoff mechanism (apps/desktop-shell/src/main/lockout.ts) — exponential backoff plus a hard lockout ceiling, checked BEFORE the password comparison happens, is a sound design with no bypass path found.</w:t>
      </w:r>
    </w:p>
    <w:p>
      <w:pPr>
        <w:pStyle w:val="Heading1"/>
        <w:pBdr>
          <w:bottom w:val="single" w:color="2563EB" w:sz="4" w:space="4"/>
        </w:pBdr>
        <w:spacing w:after="160" w:before="360"/>
      </w:pPr>
      <w:r>
        <w:rPr>
          <w:rFonts w:ascii="Calibri" w:cs="Calibri" w:eastAsia="Calibri" w:hAnsi="Calibri"/>
          <w:b/>
          <w:bCs/>
          <w:color w:val="2563EB"/>
          <w:sz w:val="30"/>
          <w:szCs w:val="30"/>
        </w:rPr>
        <w:t xml:space="preserve">6. Scope Note Carried Forward, Not Closed</w:t>
      </w:r>
    </w:p>
    <w:p>
      <w:pPr>
        <w:spacing w:after="140"/>
      </w:pPr>
      <w:r>
        <w:rPr>
          <w:rFonts w:ascii="Calibri" w:cs="Calibri" w:eastAsia="Calibri" w:hAnsi="Calibri"/>
          <w:color w:val="111827"/>
          <w:sz w:val="21"/>
          <w:szCs w:val="21"/>
        </w:rPr>
        <w:t xml:space="preserve">The first review's Section 3 already disclosed that the ~14 handler files were checked for the GUARD-CALL PATTERN itself, not for whether every individual exported function asks for the intended PERMISSION STRING. This follow-up did not have the scope to complete that line-by-line audit either — flagging it again explicitly so it does not quietly disappear from the list simply because two reviews in a row deferred it. This remains the single largest un-covered piece of the RBAC surface.</w:t>
      </w:r>
    </w:p>
    <w:p>
      <w:pPr>
        <w:pStyle w:val="Heading1"/>
        <w:pBdr>
          <w:bottom w:val="single" w:color="2563EB" w:sz="4" w:space="4"/>
        </w:pBdr>
        <w:spacing w:after="160" w:before="360"/>
      </w:pPr>
      <w:r>
        <w:rPr>
          <w:rFonts w:ascii="Calibri" w:cs="Calibri" w:eastAsia="Calibri" w:hAnsi="Calibri"/>
          <w:b/>
          <w:bCs/>
          <w:color w:val="2563EB"/>
          <w:sz w:val="30"/>
          <w:szCs w:val="30"/>
        </w:rPr>
        <w:t xml:space="preserve">7. What This Follow-Up Still Does Not Cover</w:t>
      </w:r>
    </w:p>
    <w:p>
      <w:pPr>
        <w:pStyle w:val="ListParagraph"/>
        <w:numPr>
          <w:ilvl w:val="0"/>
          <w:numId w:val="1"/>
        </w:numPr>
        <w:spacing w:after="80"/>
      </w:pPr>
      <w:r>
        <w:rPr>
          <w:rFonts w:ascii="Calibri" w:cs="Calibri" w:eastAsia="Calibri" w:hAnsi="Calibri"/>
          <w:color w:val="111827"/>
          <w:sz w:val="21"/>
          <w:szCs w:val="21"/>
        </w:rPr>
        <w:t xml:space="preserve">No dynamic/runtime fuzz testing of the IPC channels — both reviews are static code reads, not an adversarial black-box test of the running app.</w:t>
      </w:r>
    </w:p>
    <w:p>
      <w:pPr>
        <w:pStyle w:val="ListParagraph"/>
        <w:numPr>
          <w:ilvl w:val="0"/>
          <w:numId w:val="1"/>
        </w:numPr>
        <w:spacing w:after="80"/>
      </w:pPr>
      <w:r>
        <w:rPr>
          <w:rFonts w:ascii="Calibri" w:cs="Calibri" w:eastAsia="Calibri" w:hAnsi="Calibri"/>
          <w:color w:val="111827"/>
          <w:sz w:val="21"/>
          <w:szCs w:val="21"/>
        </w:rPr>
        <w:t xml:space="preserve">No memory-safety review of the native better-sqlite3-multiple-ciphers binary itself — it is treated as trusted third-party native code, same boundary every dependency in this app gets.</w:t>
      </w:r>
    </w:p>
    <w:p>
      <w:pPr>
        <w:pStyle w:val="ListParagraph"/>
        <w:numPr>
          <w:ilvl w:val="0"/>
          <w:numId w:val="1"/>
        </w:numPr>
        <w:spacing w:after="80"/>
      </w:pPr>
      <w:r>
        <w:rPr>
          <w:rFonts w:ascii="Calibri" w:cs="Calibri" w:eastAsia="Calibri" w:hAnsi="Calibri"/>
          <w:color w:val="111827"/>
          <w:sz w:val="21"/>
          <w:szCs w:val="21"/>
        </w:rPr>
        <w:t xml:space="preserve">Physical/OS-level attacks, social engineering, and the installer/update supply chain's integrity once real GH_TOKEN-based releases start publishing — all explicitly out of scope for both passes, same as stated in the first review.</w:t>
      </w:r>
    </w:p>
    <w:p>
      <w:pPr>
        <w:pStyle w:val="Heading1"/>
        <w:pBdr>
          <w:bottom w:val="single" w:color="2563EB" w:sz="4" w:space="4"/>
        </w:pBdr>
        <w:spacing w:after="160" w:before="360"/>
      </w:pPr>
      <w:r>
        <w:rPr>
          <w:rFonts w:ascii="Calibri" w:cs="Calibri" w:eastAsia="Calibri" w:hAnsi="Calibri"/>
          <w:b/>
          <w:bCs/>
          <w:color w:val="2563EB"/>
          <w:sz w:val="30"/>
          <w:szCs w:val="30"/>
        </w:rPr>
        <w:t xml:space="preserve">8. Updated Overall Recommendation</w:t>
      </w:r>
    </w:p>
    <w:p>
      <w:pPr>
        <w:spacing w:after="140"/>
      </w:pPr>
      <w:r>
        <w:rPr>
          <w:rFonts w:ascii="Calibri" w:cs="Calibri" w:eastAsia="Calibri" w:hAnsi="Calibri"/>
          <w:color w:val="111827"/>
          <w:sz w:val="21"/>
          <w:szCs w:val="21"/>
        </w:rPr>
        <w:t xml:space="preserve">The security posture is, on this second look, still genuinely sound in the places both reviews actually examined — no runtime-reachable dependency CVE, no SQL injection surface (now re-verified independently), fail-closed cryptography throughout, fail-closed audit-tamper detection. The additions in this pass (G2–G5) are all low-to-medium severity and mostly defense-in-depth, not live exploitable holes.</w:t>
      </w:r>
    </w:p>
    <w:tbl>
      <w:tblPr>
        <w:tblW w:type="pct" w:w="100%"/>
        <w:tblBorders>
          <w:top w:val="single" w:color="2563EB" w:sz="4"/>
          <w:left w:val="single" w:color="2563EB" w:sz="24"/>
          <w:bottom w:val="single" w:color="2563EB" w:sz="4"/>
          <w:right w:val="single" w:color="2563EB" w:sz="4"/>
          <w:insideH w:val="none" w:color="FFFFFF" w:sz="0"/>
          <w:insideV w:val="none" w:color="FFFFFF" w:sz="0"/>
        </w:tblBorders>
      </w:tblPr>
      <w:tblGrid>
        <w:gridCol w:w="100"/>
      </w:tblGrid>
      <w:tr>
        <w:tc>
          <w:tcPr>
            <w:shd w:fill="EFF6FF" w:color="auto" w:val="clear"/>
            <w:tcMar>
              <w:top w:type="dxa" w:w="120"/>
              <w:left w:type="dxa" w:w="180"/>
              <w:bottom w:type="dxa" w:w="120"/>
              <w:right w:type="dxa" w:w="180"/>
            </w:tcMar>
          </w:tcPr>
          <w:p>
            <w:pPr>
              <w:spacing w:after="60"/>
            </w:pPr>
            <w:r>
              <w:rPr>
                <w:rFonts w:ascii="Calibri" w:cs="Calibri" w:eastAsia="Calibri" w:hAnsi="Calibri"/>
                <w:b/>
                <w:bCs/>
                <w:color w:val="2563EB"/>
                <w:sz w:val="20"/>
                <w:szCs w:val="20"/>
              </w:rPr>
              <w:t xml:space="preserve">Before onboarding a first paying customer — updated list</w:t>
            </w:r>
          </w:p>
          <w:p>
            <w:r>
              <w:rPr>
                <w:rFonts w:ascii="Calibri" w:cs="Calibri" w:eastAsia="Calibri" w:hAnsi="Calibri"/>
                <w:color w:val="111827"/>
                <w:sz w:val="20"/>
                <w:szCs w:val="20"/>
              </w:rPr>
              <w:t xml:space="preserve">Everything the first review already said, unchanged: (1) a licensed third-party penetration test; (2) a real decision on sandbox: false — this pass recommends actually testing sandbox: true given the print window's existence proof (G3); (3) the code-signing certificate. Add from this pass: (4) validate/escape style-attribute values in the custom template renderer (G2); (5) add a baseline CSP (G4); (6) re-run npm audit before every release and treat the build machine as sensitive even though today's findings are dev-only (Section 4); (7) resolve the RCM input-tax-credit code/comment contradiction flagged in the companion CA Adversarial Review — it is a correctness issue with a downstream audit-trail dimension (a statutory return figure), not a pure security bug, but it belongs on the same pre-launch punch list.</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spacing w:after="40" w:before="120"/>
    </w:pPr>
    <w:r>
      <w:rPr>
        <w:rFonts w:ascii="Calibri" w:cs="Calibri" w:eastAsia="Calibri" w:hAnsi="Calibri"/>
        <w:color w:val="6B7280"/>
        <w:sz w:val="14"/>
        <w:szCs w:val="14"/>
      </w:rPr>
      <w:t xml:space="preserve">MHTSdigiXR • KoodaldigiXS • Maanagarram Hi Tech Solutions • Confidential &amp; Proprietary • Page </w:t>
    </w:r>
    <w:r>
      <w:rPr>
        <w:rFonts w:ascii="Calibri" w:cs="Calibri" w:eastAsia="Calibri" w:hAnsi="Calibri"/>
        <w:color w:val="6B7280"/>
        <w:sz w:val="14"/>
        <w:szCs w:val="14"/>
      </w:rPr>
      <w:fldChar w:fldCharType="begin"/>
      <w:instrText xml:space="preserve">PAGE</w:instrText>
      <w:fldChar w:fldCharType="separate"/>
      <w:fldChar w:fldCharType="end"/>
    </w:r>
  </w:p>
  <w:p>
    <w:pPr>
      <w:spacing w:after="40"/>
    </w:pPr>
    <w:r>
      <w:rPr>
        <w:rFonts w:ascii="Calibri" w:cs="Calibri" w:eastAsia="Calibri" w:hAnsi="Calibri"/>
        <w:color w:val="6B7280"/>
        <w:sz w:val="14"/>
        <w:szCs w:val="14"/>
      </w:rPr>
      <w:t xml:space="preserve">No 4056, 5th Main Road, Ayyapakam, Chennai, Tamil Nadu, India – 600077</w:t>
    </w:r>
  </w:p>
  <w:p>
    <w:pPr>
      <w:spacing w:after="40"/>
    </w:pPr>
    <w:r>
      <w:rPr>
        <w:rFonts w:ascii="Calibri" w:cs="Calibri" w:eastAsia="Calibri" w:hAnsi="Calibri"/>
        <w:color w:val="6B7280"/>
        <w:sz w:val="14"/>
        <w:szCs w:val="14"/>
      </w:rPr>
      <w:t xml:space="preserve">Tel: 044-47740195 | Web: www.mhtsdigixr.com • www.koodaldigixs.com | Mob: +91 7358105995 |</w:t>
    </w:r>
  </w:p>
  <w:p>
    <w:r>
      <w:rPr>
        <w:rFonts w:ascii="Calibri" w:cs="Calibri" w:eastAsia="Calibri" w:hAnsi="Calibri"/>
        <w:color w:val="6B7280"/>
        <w:sz w:val="14"/>
        <w:szCs w:val="14"/>
      </w:rPr>
      <w:t xml:space="preserve">GSTIN: 33AMFPR8672L1Z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3810000">
          <wp:simplePos x="0" y="0"/>
          <wp:positionH relativeFrom="page">
            <wp:align>center</wp:align>
          </wp:positionH>
          <wp:positionV relativeFrom="page">
            <wp:align>center</wp:align>
          </wp:positionV>
          <wp:extent cx="3810000" cy="38100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0" cy="38100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7d9cf5b5d8cbf6aadac7adbf1ea1f61655db8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769f63c279b737cdb672533b97ed61dc671740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2026-09-08T07:54:37.998Z</dcterms:created>
  <dcterms:modified xsi:type="dcterms:W3CDTF">2026-09-08T07:54:37.998Z</dcterms:modified>
</cp:coreProperties>
</file>

<file path=docProps/custom.xml><?xml version="1.0" encoding="utf-8"?>
<Properties xmlns="http://schemas.openxmlformats.org/officeDocument/2006/custom-properties" xmlns:vt="http://schemas.openxmlformats.org/officeDocument/2006/docPropsVTypes"/>
</file>