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0.xml" ContentType="application/vnd.ms-office.chartstyle+xml"/>
  <Override PartName="/word/charts/colors10.xml" ContentType="application/vnd.ms-office.chartcolorstyle+xml"/>
  <Override PartName="/word/charts/style9.xml" ContentType="application/vnd.ms-office.chart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chart10.xml" ContentType="application/vnd.openxmlformats-officedocument.drawingml.chart+xml"/>
  <Override PartName="/word/charts/style6.xml" ContentType="application/vnd.ms-office.chartstyle+xml"/>
  <Override PartName="/word/charts/chart6.xml" ContentType="application/vnd.openxmlformats-officedocument.drawingml.chart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2.xml" ContentType="application/vnd.ms-office.chartstyle+xml"/>
  <Override PartName="/word/charts/style4.xml" ContentType="application/vnd.ms-office.chartstyle+xml"/>
  <Override PartName="/word/charts/colors2.xml" ContentType="application/vnd.ms-office.chartcolor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olors9.xml" ContentType="application/vnd.ms-office.chartcolorstyle+xml"/>
  <Override PartName="/word/charts/chart8.xml" ContentType="application/vnd.openxmlformats-officedocument.drawingml.chart+xml"/>
  <Override PartName="/word/charts/colors6.xml" ContentType="application/vnd.ms-office.chartcolorstyle+xml"/>
  <Override PartName="/word/charts/style1.xml" ContentType="application/vnd.ms-office.chartstyle+xml"/>
  <Override PartName="/word/footer3.xml" ContentType="application/vnd.openxmlformats-officedocument.wordprocessingml.footer+xml"/>
  <Override PartName="/word/charts/colors4.xml" ContentType="application/vnd.ms-office.chartcolorstyle+xml"/>
  <Override PartName="/word/footer2.xml" ContentType="application/vnd.openxmlformats-officedocument.wordprocessingml.footer+xml"/>
  <Override PartName="/word/charts/style5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style3.xml" ContentType="application/vnd.ms-office.chartsty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74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83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МІНІСТЕРСТВО ОСВІТИ І НАУКИ УКРАЇНИ </w:t>
            </w:r>
            <w:r/>
          </w:p>
          <w:p>
            <w:pPr>
              <w:ind w:left="31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КИЇВСЬКИЙ НАЦІОНАЛЬНИЙ УНІВЕРСИТЕТ </w:t>
            </w:r>
            <w:r>
              <w:rPr>
                <w:lang w:val="ru-RU"/>
              </w:rPr>
              <w:t xml:space="preserve">імені</w:t>
            </w:r>
            <w:r>
              <w:rPr>
                <w:lang w:val="ru-RU"/>
              </w:rPr>
              <w:t xml:space="preserve"> Тараса Шевченка </w:t>
            </w:r>
            <w:r/>
          </w:p>
          <w:p>
            <w:pPr>
              <w:ind w:left="1668" w:right="0" w:firstLine="0"/>
              <w:jc w:val="left"/>
              <w:spacing w:after="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ФАКУЛЬТЕТ ІНФОРМАЦІЙНИХ ТЕХНОЛОГІЙ </w:t>
            </w:r>
            <w:r/>
          </w:p>
          <w:p>
            <w:pPr>
              <w:ind w:left="2085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Кафедра </w:t>
            </w:r>
            <w:r>
              <w:rPr>
                <w:b/>
                <w:lang w:val="ru-RU"/>
              </w:rPr>
              <w:t xml:space="preserve">програмних</w:t>
            </w:r>
            <w:r>
              <w:rPr>
                <w:b/>
                <w:lang w:val="ru-RU"/>
              </w:rPr>
              <w:t xml:space="preserve"> систем і </w:t>
            </w:r>
            <w:r>
              <w:rPr>
                <w:b/>
                <w:lang w:val="ru-RU"/>
              </w:rPr>
              <w:t xml:space="preserve">технологій</w:t>
            </w: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4978" w:right="4818" w:firstLine="0"/>
              <w:jc w:val="center"/>
              <w:spacing w:after="0" w:line="255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</w:t>
            </w:r>
            <w:r/>
          </w:p>
          <w:p>
            <w:pPr>
              <w:ind w:left="160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34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8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Дисципліна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22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«</w:t>
            </w:r>
            <w:r>
              <w:rPr>
                <w:b/>
                <w:lang w:val="ru-RU"/>
              </w:rPr>
              <w:t xml:space="preserve">Емпіричні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методи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програмної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інженерії</w:t>
            </w:r>
            <w:r>
              <w:rPr>
                <w:b/>
                <w:lang w:val="ru-RU"/>
              </w:rPr>
              <w:t xml:space="preserve">»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51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107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Практична робота № </w:t>
            </w:r>
            <w:r>
              <w:rPr>
                <w:b/>
                <w:lang w:val="ru-RU"/>
              </w:rPr>
              <w:t xml:space="preserve">3 </w:t>
            </w:r>
            <w:r/>
          </w:p>
          <w:p>
            <w:pPr>
              <w:ind w:left="156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“</w:t>
            </w:r>
            <w:r>
              <w:rPr>
                <w:b/>
                <w:bCs/>
                <w:sz w:val="24"/>
                <w:szCs w:val="24"/>
                <w:lang w:val="ru-RU"/>
              </w:rPr>
            </w:r>
            <w:r>
              <w:t xml:space="preserve">ПЕРВИННИЙ СТАТИСТИЧНИЙ АНАЛІЗ ТА ПЕРЕВІРКА РЕЗУЛЬТАТІВ ВИМІРЮВАНЬ ПРОГРАМНОГО ЗАБЕЗПЕЧЕННЯ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”</w:t>
            </w:r>
            <w:r/>
          </w:p>
          <w:p>
            <w:pPr>
              <w:ind w:left="160" w:right="0" w:firstLine="0"/>
              <w:jc w:val="center"/>
              <w:spacing w:after="3467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12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 xml:space="preserve"> </w:t>
            </w:r>
            <w:r/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Викона</w:t>
            </w:r>
            <w:r>
              <w:rPr>
                <w:b/>
                <w:lang w:val="uk-UA"/>
              </w:rPr>
              <w:t xml:space="preserve">в</w:t>
            </w:r>
            <w:r>
              <w:rPr>
                <w:b/>
              </w:rP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lang w:val="ru-RU"/>
              </w:rPr>
              <w:t xml:space="preserve">Гоша Д. О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Перевірила</w:t>
            </w:r>
            <w: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Юрчук</w:t>
            </w:r>
            <w:r>
              <w:t xml:space="preserve"> </w:t>
            </w:r>
            <w:r>
              <w:t xml:space="preserve">Ірина</w:t>
            </w:r>
            <w:r>
              <w:t xml:space="preserve"> </w:t>
            </w:r>
            <w:r>
              <w:t xml:space="preserve">Аркадіївна</w:t>
            </w:r>
            <w:r>
              <w:t xml:space="preserve"> </w:t>
            </w:r>
            <w:r/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Група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ІПЗ-23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Дата</w:t>
            </w:r>
            <w:r>
              <w:t xml:space="preserve"> </w:t>
            </w:r>
            <w:r>
              <w:t xml:space="preserve">перевірки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 </w:t>
            </w:r>
            <w:r/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</w:pPr>
            <w:r>
              <w:t xml:space="preserve">Форма</w:t>
            </w:r>
            <w:r>
              <w:t xml:space="preserve"> </w:t>
            </w:r>
            <w:r>
              <w:t xml:space="preserve">навчання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денна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Оцінка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Спеціальність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121 </w:t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637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  <w:rPr>
                <w:lang w:val="uk-UA"/>
              </w:rPr>
            </w:pPr>
            <w:r>
              <w:t xml:space="preserve">202</w:t>
            </w:r>
            <w:r>
              <w:rPr>
                <w:lang w:val="uk-UA"/>
              </w:rPr>
              <w:t xml:space="preserve">2</w:t>
            </w:r>
            <w:r/>
          </w:p>
        </w:tc>
      </w:tr>
    </w:tbl>
    <w:p>
      <w:pPr>
        <w:ind w:right="0" w:firstLine="0"/>
        <w:jc w:val="left"/>
        <w:spacing w:after="161" w:line="259" w:lineRule="auto"/>
      </w:pPr>
      <w:r>
        <w:rPr>
          <w:sz w:val="6"/>
        </w:rPr>
        <w:t xml:space="preserve"> </w:t>
      </w:r>
      <w:r/>
    </w:p>
    <w:p>
      <w:pPr>
        <w:ind w:right="0" w:firstLine="0"/>
        <w:spacing w:after="0" w:line="259" w:lineRule="auto"/>
      </w:pPr>
      <w:r>
        <w:rPr>
          <w:sz w:val="6"/>
        </w:rPr>
        <w:t xml:space="preserve"> </w:t>
      </w:r>
      <w:r>
        <w:rPr>
          <w:sz w:val="6"/>
        </w:rPr>
        <w:tab/>
        <w:t xml:space="preserve"> </w:t>
      </w:r>
      <w:r/>
    </w:p>
    <w:p>
      <w:pPr>
        <w:ind w:firstLine="0"/>
        <w:rPr>
          <w:lang w:val="ru-RU"/>
        </w:rPr>
      </w:pPr>
      <w:r>
        <w:rPr>
          <w:rStyle w:val="873"/>
          <w:lang w:val="ru-RU"/>
        </w:rPr>
        <w:t xml:space="preserve">Мета:</w:t>
      </w:r>
      <w:r>
        <w:rPr>
          <w:lang w:val="ru-RU"/>
        </w:rPr>
        <w:t xml:space="preserve"> </w:t>
      </w:r>
      <w:r>
        <w:t xml:space="preserve">Навчитися будувати закони розподілів метрик, визначати відхилення від оптимальних значень та їх причини.</w:t>
      </w:r>
      <w:r>
        <w:rPr>
          <w:lang w:val="ru-RU"/>
        </w:rPr>
      </w:r>
      <w:r/>
    </w:p>
    <w:p>
      <w:pPr>
        <w:pStyle w:val="867"/>
        <w:jc w:val="center"/>
        <w:spacing w:after="207"/>
      </w:pPr>
      <w:r>
        <w:rPr>
          <w:highlight w:val="none"/>
          <w:lang w:val="uk-UA"/>
        </w:rPr>
      </w:r>
      <w:r>
        <w:t xml:space="preserve">Завдання </w:t>
      </w:r>
      <w:r/>
    </w:p>
    <w:p>
      <w:pPr>
        <w:pStyle w:val="883"/>
        <w:numPr>
          <w:ilvl w:val="0"/>
          <w:numId w:val="12"/>
        </w:numPr>
      </w:pPr>
      <w:r>
        <w:t xml:space="preserve">Побудувати гістограми прямих та непрямих метрик згідно із варіантом. </w:t>
      </w:r>
      <w:r/>
    </w:p>
    <w:p>
      <w:pPr>
        <w:pStyle w:val="883"/>
        <w:numPr>
          <w:ilvl w:val="0"/>
          <w:numId w:val="12"/>
        </w:numPr>
      </w:pPr>
      <w:r>
        <w:t xml:space="preserve">Розрахувати статистичні характеристики (математичне сподівання, середнє квадратичне відхилення, коефіцієнт асиметрії , коефіцієнт ексцесу). </w:t>
      </w:r>
      <w:r/>
    </w:p>
    <w:p>
      <w:pPr>
        <w:pStyle w:val="883"/>
        <w:numPr>
          <w:ilvl w:val="0"/>
          <w:numId w:val="12"/>
        </w:numPr>
      </w:pPr>
      <w:r>
        <w:t xml:space="preserve">Провести інтервальне оціню</w:t>
      </w:r>
      <w:r>
        <w:t xml:space="preserve">вання параметрів (визначити верхню та нижню межі). </w:t>
      </w:r>
      <w:r/>
    </w:p>
    <w:p>
      <w:pPr>
        <w:pStyle w:val="883"/>
        <w:numPr>
          <w:ilvl w:val="0"/>
          <w:numId w:val="12"/>
        </w:numPr>
      </w:pPr>
      <w:r>
        <w:t xml:space="preserve">Визначити можливі відхилення. </w:t>
      </w:r>
      <w:r/>
    </w:p>
    <w:p>
      <w:pPr>
        <w:pStyle w:val="883"/>
        <w:numPr>
          <w:ilvl w:val="0"/>
          <w:numId w:val="12"/>
        </w:numPr>
        <w:rPr>
          <w:lang w:val="uk-UA"/>
        </w:rPr>
      </w:pPr>
      <w:r>
        <w:t xml:space="preserve">Визначити закон розподілу.</w:t>
      </w:r>
      <w:r>
        <w:rPr>
          <w:highlight w:val="none"/>
          <w:lang w:val="uk-UA"/>
        </w:rPr>
      </w:r>
      <w:r/>
    </w:p>
    <w:p>
      <w:pPr>
        <w:pStyle w:val="867"/>
        <w:spacing w:after="207"/>
        <w:rPr>
          <w:highlight w:val="none"/>
          <w:lang w:val="uk-UA"/>
        </w:rPr>
      </w:pPr>
      <w:r>
        <w:rPr>
          <w:lang w:val="ru-RU"/>
        </w:rPr>
        <w:t xml:space="preserve">Вар</w:t>
      </w:r>
      <w:r>
        <w:rPr>
          <w:lang w:val="uk-UA"/>
        </w:rPr>
        <w:t xml:space="preserve">іант</w:t>
      </w:r>
      <w:r>
        <w:rPr>
          <w:lang w:val="uk-UA"/>
        </w:rPr>
        <w:t xml:space="preserve"> 4</w:t>
      </w:r>
      <w:r/>
    </w:p>
    <w:p>
      <w:pPr>
        <w:pStyle w:val="867"/>
        <w:spacing w:after="207"/>
      </w:pPr>
      <w:r>
        <w:t xml:space="preserve">Виконання</w:t>
      </w:r>
      <w:r>
        <w:t xml:space="preserve"> </w:t>
      </w:r>
      <w:r>
        <w:t xml:space="preserve">лабораторної</w:t>
      </w:r>
      <w:r>
        <w:t xml:space="preserve"> </w:t>
      </w:r>
      <w:r>
        <w:t xml:space="preserve">роботи</w:t>
      </w:r>
      <w:r>
        <w:t xml:space="preserve"> </w:t>
      </w:r>
      <w:r/>
    </w:p>
    <w:p>
      <w:pPr>
        <w:ind w:firstLine="0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t xml:space="preserve">Згідно варіанту, метрики, які будуть досліджуватись:  </w:t>
      </w:r>
      <w:r/>
    </w:p>
    <w:p>
      <w:pPr>
        <w:ind w:firstLine="0"/>
      </w:pPr>
      <w:r>
        <w:t xml:space="preserve">Прямі: </w:t>
      </w:r>
      <w:r>
        <w:t xml:space="preserve"> </w:t>
      </w:r>
      <w:r>
        <w:t xml:space="preserve">NOM</w:t>
      </w:r>
      <w:r>
        <w:t xml:space="preserve">, </w:t>
      </w:r>
      <w:r>
        <w:t xml:space="preserve">NOC</w:t>
      </w:r>
      <w:r>
        <w:t xml:space="preserve">, </w:t>
      </w:r>
      <w:r>
        <w:t xml:space="preserve">NOP</w:t>
      </w:r>
      <w:r>
        <w:t xml:space="preserve">, </w:t>
      </w:r>
      <w:r>
        <w:t xml:space="preserve">NDD</w:t>
      </w:r>
      <w:r>
        <w:t xml:space="preserve">, </w:t>
      </w:r>
      <w:r>
        <w:t xml:space="preserve">CALL</w:t>
      </w:r>
      <w:r>
        <w:t xml:space="preserve">.</w:t>
      </w:r>
      <w:r/>
    </w:p>
    <w:p>
      <w:pPr>
        <w:ind w:firstLine="0"/>
      </w:pPr>
      <w:r>
        <w:t xml:space="preserve">Непрямі: </w:t>
      </w:r>
      <w:r>
        <w:t xml:space="preserve">WMC</w:t>
      </w:r>
      <w:r>
        <w:rPr>
          <w:lang w:val="ru-RU"/>
        </w:rPr>
        <w:t xml:space="preserve">, </w:t>
      </w:r>
      <w:r>
        <w:t xml:space="preserve">TCC</w:t>
      </w:r>
      <w:r>
        <w:rPr>
          <w:lang w:val="ru-RU"/>
        </w:rPr>
        <w:t xml:space="preserve">, </w:t>
      </w:r>
      <w:r>
        <w:t xml:space="preserve">PNAS</w:t>
      </w:r>
      <w:r>
        <w:t xml:space="preserve">.</w:t>
      </w:r>
      <w:r/>
    </w:p>
    <w:p>
      <w:pPr>
        <w:ind w:firstLine="0"/>
      </w:pPr>
      <w:r>
        <w:t xml:space="preserve">Будування гістограм та розрахунок значень відбувався в MS Excel. </w:t>
      </w:r>
      <w:r/>
    </w:p>
    <w:p>
      <w:pPr>
        <w:ind w:firstLine="0"/>
        <w:jc w:val="center"/>
        <w:rPr>
          <w:b/>
          <w:highlight w:val="none"/>
        </w:rPr>
      </w:pPr>
      <w:r>
        <w:rPr>
          <w:b/>
        </w:rPr>
      </w:r>
      <w:r>
        <w:rPr>
          <w:b/>
        </w:rPr>
        <w:t xml:space="preserve">NOM</w:t>
      </w:r>
      <w:r>
        <w:rPr>
          <w:b/>
        </w:rPr>
        <w:t xml:space="preserve">– до відкидання </w:t>
      </w:r>
      <w:r>
        <w:rPr>
          <w:b/>
        </w:rPr>
      </w:r>
    </w:p>
    <w:p>
      <w:pPr>
        <w:ind w:firstLine="0"/>
        <w:jc w:val="center"/>
        <w:rPr>
          <w:b/>
        </w:rPr>
      </w:pPr>
      <w:r>
        <w:rPr>
          <w:b/>
          <w:highlight w:val="none"/>
        </w:rPr>
      </w:r>
      <w:r>
        <w:drawing>
          <wp:inline distT="0" distB="0" distL="0" distR="0">
            <wp:extent cx="4554802" cy="2739760"/>
            <wp:effectExtent l="4762" t="4762" r="4762" b="4762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  <w:highlight w:val="none"/>
        </w:rPr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firstLine="0"/>
      </w:pPr>
      <w:r>
        <w:t xml:space="preserve">Межі вибірки: 2.6- 2.9 </w:t>
      </w:r>
      <w:r/>
    </w:p>
    <w:p>
      <w:pPr>
        <w:ind w:firstLine="0"/>
      </w:pPr>
      <w:r>
        <w:t xml:space="preserve">Закон розподілу є нормальним. </w:t>
      </w:r>
      <w:r/>
    </w:p>
    <w:p>
      <w:pPr>
        <w:ind w:firstLine="0"/>
      </w:pPr>
      <w:r>
        <w:t xml:space="preserve">М</w:t>
      </w:r>
      <w:r>
        <w:t xml:space="preserve">атематичне сподівання – 6.03 </w:t>
      </w:r>
      <w:r/>
    </w:p>
    <w:p>
      <w:pPr>
        <w:ind w:firstLine="0"/>
      </w:pPr>
      <w:r>
        <w:t xml:space="preserve">Середнє квадратичне відхилення – 2.22 </w:t>
      </w:r>
      <w:r/>
    </w:p>
    <w:p>
      <w:pPr>
        <w:ind w:firstLine="0"/>
      </w:pPr>
      <w:r>
        <w:t xml:space="preserve">Коефіцієнт асиметрії – -0.06666</w:t>
      </w:r>
      <w:r/>
    </w:p>
    <w:p>
      <w:pPr>
        <w:ind w:firstLine="0"/>
      </w:pPr>
      <w:r>
        <w:t xml:space="preserve">Коефіцієнт ексцесу – -1.35644</w:t>
      </w:r>
      <w:r/>
    </w:p>
    <w:p>
      <w:pPr>
        <w:ind w:firstLine="0"/>
        <w:jc w:val="center"/>
        <w:rPr>
          <w:b/>
        </w:rPr>
      </w:pPr>
      <w:r>
        <w:rPr>
          <w:b/>
        </w:rPr>
      </w:r>
      <w:r>
        <w:rPr>
          <w:b/>
        </w:rPr>
        <w:t xml:space="preserve">NOM</w:t>
      </w:r>
      <w:r>
        <w:rPr>
          <w:b/>
        </w:rPr>
        <w:t xml:space="preserve">- після відкидання </w:t>
      </w:r>
      <w:r>
        <w:rPr>
          <w:b/>
        </w:rPr>
      </w:r>
    </w:p>
    <w:p>
      <w:pPr>
        <w:ind w:firstLine="0"/>
      </w:pPr>
      <w:r>
        <w:t xml:space="preserve">Межі вибірки: 145 - 1753 </w:t>
      </w:r>
      <w:r/>
    </w:p>
    <w:p>
      <w:pPr>
        <w:ind w:firstLine="0"/>
      </w:pPr>
      <w:r>
        <w:t xml:space="preserve">Закон розподілу є не нормальним. </w:t>
      </w:r>
      <w:r/>
    </w:p>
    <w:p>
      <w:pPr>
        <w:ind w:firstLine="0"/>
      </w:pPr>
      <w:r>
        <w:t xml:space="preserve">Математичне сподівання – 566,8 </w:t>
      </w:r>
      <w:r/>
      <w:r>
        <w:t xml:space="preserve"> </w:t>
      </w:r>
      <w:r/>
    </w:p>
    <w:p>
      <w:pPr>
        <w:ind w:firstLine="0"/>
      </w:pPr>
      <w:r>
        <w:t xml:space="preserve">Середнє квадратичне відхилення – 455, 255 </w:t>
      </w:r>
      <w:r/>
    </w:p>
    <w:p>
      <w:pPr>
        <w:ind w:firstLine="0"/>
      </w:pPr>
      <w:r>
        <w:t xml:space="preserve">Коефіцієнт асиметрії – 1,28874 </w:t>
      </w:r>
      <w:r/>
    </w:p>
    <w:p>
      <w:pPr>
        <w:ind w:firstLine="0"/>
        <w:rPr>
          <w:highlight w:val="none"/>
          <w:lang w:val="ru-RU"/>
        </w:rPr>
      </w:pPr>
      <w:r>
        <w:t xml:space="preserve">Коефіцієнт ексцесу – 1,92416</w:t>
      </w:r>
      <w:r>
        <w:rPr>
          <w:highlight w:val="none"/>
          <w:lang w:val="ru-RU"/>
        </w:rPr>
      </w:r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NOC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/>
      <w:r>
        <w:drawing>
          <wp:inline distT="0" distB="0" distL="0" distR="0">
            <wp:extent cx="5275791" cy="2844799"/>
            <wp:effectExtent l="4762" t="4762" r="4762" b="4762"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  <w:r>
        <w:rPr>
          <w:b/>
        </w:rPr>
      </w:r>
      <w:r/>
    </w:p>
    <w:p>
      <w:pPr>
        <w:ind w:firstLine="0"/>
      </w:pPr>
      <w:r>
        <w:t xml:space="preserve">Межі вибірки: 199- 67923 </w:t>
      </w:r>
      <w:r/>
      <w:r/>
    </w:p>
    <w:p>
      <w:pPr>
        <w:ind w:firstLine="0"/>
      </w:pPr>
      <w:r>
        <w:t xml:space="preserve">Закон розподілу є не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21777.8</w:t>
      </w:r>
      <w:r/>
      <w:r/>
    </w:p>
    <w:p>
      <w:pPr>
        <w:ind w:firstLine="0"/>
      </w:pPr>
      <w:r>
        <w:t xml:space="preserve">Середнє квадратичне відхилення –25933.458 </w:t>
      </w:r>
      <w:r/>
      <w:r/>
    </w:p>
    <w:p>
      <w:pPr>
        <w:ind w:firstLine="0"/>
      </w:pPr>
      <w:r>
        <w:t xml:space="preserve">Коефіцієнт асиметрії – -0.8868581</w:t>
      </w:r>
      <w:r/>
    </w:p>
    <w:p>
      <w:pPr>
        <w:ind w:firstLine="0"/>
      </w:pPr>
      <w:r>
        <w:t xml:space="preserve">Коефіцієнт ексцесу – -0.679384</w:t>
      </w:r>
      <w:r/>
    </w:p>
    <w:p>
      <w:pPr>
        <w:ind w:firstLine="0"/>
        <w:jc w:val="center"/>
        <w:rPr>
          <w:b/>
          <w:highlight w:val="none"/>
        </w:rPr>
      </w:pPr>
      <w:r>
        <w:rPr>
          <w:b/>
        </w:rPr>
      </w:r>
      <w:r>
        <w:rPr>
          <w:b/>
        </w:rPr>
      </w:r>
      <w:r>
        <w:t xml:space="preserve">NOC</w:t>
      </w:r>
      <w:r/>
      <w:r>
        <w:rPr>
          <w:b/>
        </w:rPr>
      </w:r>
      <w:r>
        <w:rPr>
          <w:b/>
        </w:rPr>
        <w:t xml:space="preserve">- після відкидання </w:t>
      </w:r>
      <w:r>
        <w:rPr>
          <w:b/>
        </w:rPr>
      </w:r>
      <w:r/>
    </w:p>
    <w:p>
      <w:pPr>
        <w:ind w:firstLine="0"/>
        <w:jc w:val="center"/>
        <w:rPr>
          <w:b/>
        </w:rPr>
      </w:pPr>
      <w:r>
        <w:rPr>
          <w:b/>
          <w:highlight w:val="none"/>
        </w:rPr>
      </w:r>
      <w:r>
        <w:drawing>
          <wp:inline distT="0" distB="0" distL="0" distR="0">
            <wp:extent cx="5333999" cy="3121024"/>
            <wp:effectExtent l="4762" t="4762" r="4762" b="4762"/>
            <wp:docPr id="3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firstLine="0"/>
      </w:pPr>
      <w:r>
        <w:t xml:space="preserve">Межі вибірки: 199 - 62274</w:t>
      </w:r>
      <w:r/>
      <w:r/>
    </w:p>
    <w:p>
      <w:pPr>
        <w:ind w:firstLine="0"/>
      </w:pPr>
      <w:r>
        <w:t xml:space="preserve">Закон розподілу є не нормальним. </w:t>
      </w:r>
      <w:r/>
      <w:r/>
    </w:p>
    <w:p>
      <w:pPr>
        <w:ind w:firstLine="0"/>
      </w:pPr>
      <w:r>
        <w:t xml:space="preserve">Математичне сподівання – 11629.4 </w:t>
      </w:r>
      <w:r>
        <w:t xml:space="preserve"> </w:t>
      </w:r>
      <w:r/>
      <w:r/>
    </w:p>
    <w:p>
      <w:pPr>
        <w:ind w:firstLine="0"/>
      </w:pPr>
      <w:r>
        <w:t xml:space="preserve">Середнє квадратичне відхилення – 17517.08</w:t>
      </w:r>
      <w:r/>
      <w:r/>
    </w:p>
    <w:p>
      <w:pPr>
        <w:ind w:firstLine="0"/>
      </w:pPr>
      <w:r>
        <w:t xml:space="preserve">Коефіцієнт асиметрії – 1,64948</w:t>
      </w:r>
      <w:r/>
    </w:p>
    <w:p>
      <w:pPr>
        <w:ind w:firstLine="0"/>
        <w:rPr>
          <w:lang w:val="ru-RU"/>
        </w:rPr>
      </w:pPr>
      <w:r>
        <w:t xml:space="preserve">Коефіцієнт ексцесу – 2,7094</w:t>
      </w:r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NOP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>
        <w:drawing>
          <wp:inline distT="0" distB="0" distL="0" distR="0">
            <wp:extent cx="5122612" cy="3106371"/>
            <wp:effectExtent l="4762" t="4762" r="4762" b="4762"/>
            <wp:docPr id="4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b/>
          <w:highlight w:val="none"/>
        </w:rPr>
      </w:r>
      <w:r/>
      <w:r>
        <w:rPr>
          <w:b/>
        </w:rPr>
      </w:r>
      <w:r/>
    </w:p>
    <w:p>
      <w:pPr>
        <w:ind w:firstLine="0"/>
      </w:pPr>
      <w:r>
        <w:t xml:space="preserve">Межі вибірки: 1.62 - 19</w:t>
      </w:r>
      <w:r/>
      <w:r/>
    </w:p>
    <w:p>
      <w:pPr>
        <w:ind w:firstLine="0"/>
      </w:pPr>
      <w:r>
        <w:t xml:space="preserve">Закон розподілу є не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6.1815</w:t>
      </w:r>
      <w:r/>
    </w:p>
    <w:p>
      <w:pPr>
        <w:ind w:firstLine="0"/>
      </w:pPr>
      <w:r>
        <w:t xml:space="preserve">Середнє квадратичне відхилення –3.9</w:t>
      </w:r>
      <w:r/>
    </w:p>
    <w:p>
      <w:pPr>
        <w:ind w:firstLine="0"/>
      </w:pPr>
      <w:r>
        <w:t xml:space="preserve">Коефіцієнт асиметрії – 1,828863</w:t>
      </w:r>
      <w:r/>
    </w:p>
    <w:p>
      <w:pPr>
        <w:ind w:firstLine="0"/>
      </w:pPr>
      <w:r>
        <w:t xml:space="preserve">Коефіцієнт ексцесу – 5,369588</w:t>
      </w:r>
      <w:r/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t xml:space="preserve">NOP</w:t>
      </w:r>
      <w:r>
        <w:rPr>
          <w:b/>
        </w:rPr>
        <w:t xml:space="preserve">- після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/>
      <w:r>
        <w:rPr>
          <w:b/>
        </w:rPr>
      </w:r>
      <w:r>
        <w:drawing>
          <wp:inline distT="0" distB="0" distL="0" distR="0">
            <wp:extent cx="4980781" cy="2833687"/>
            <wp:effectExtent l="4762" t="4762" r="4762" b="4762"/>
            <wp:docPr id="5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b/>
        </w:rPr>
      </w:r>
      <w:r/>
    </w:p>
    <w:p>
      <w:pPr>
        <w:ind w:firstLine="0"/>
      </w:pPr>
      <w:r>
        <w:t xml:space="preserve">Межі вибірки: 2,46 - 10,5</w:t>
      </w:r>
      <w:r/>
      <w:r/>
    </w:p>
    <w:p>
      <w:pPr>
        <w:ind w:firstLine="0"/>
      </w:pPr>
      <w:r>
        <w:t xml:space="preserve">Закон розподілу є не нормальним. </w:t>
      </w:r>
      <w:r/>
      <w:r/>
    </w:p>
    <w:p>
      <w:pPr>
        <w:ind w:firstLine="0"/>
      </w:pPr>
      <w:r>
        <w:t xml:space="preserve">Математичне сподівання – 5,5</w:t>
      </w:r>
      <w:r>
        <w:t xml:space="preserve"> </w:t>
      </w:r>
      <w:r/>
      <w:r/>
    </w:p>
    <w:p>
      <w:pPr>
        <w:ind w:firstLine="0"/>
      </w:pPr>
      <w:r>
        <w:t xml:space="preserve">Середнє квадратичне відхилення – 2,55</w:t>
      </w:r>
      <w:r/>
    </w:p>
    <w:p>
      <w:pPr>
        <w:ind w:firstLine="0"/>
      </w:pPr>
      <w:r>
        <w:t xml:space="preserve">Коефіцієнт асиметрії – 0,528</w:t>
      </w:r>
      <w:r/>
    </w:p>
    <w:p>
      <w:pPr>
        <w:ind w:firstLine="0"/>
        <w:rPr>
          <w:highlight w:val="none"/>
        </w:rPr>
      </w:pPr>
      <w:r>
        <w:t xml:space="preserve">Коефіцієнт ексцесу – -0,31</w:t>
      </w:r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NDD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>
        <w:drawing>
          <wp:inline distT="0" distB="0" distL="0" distR="0">
            <wp:extent cx="4742259" cy="3117940"/>
            <wp:effectExtent l="4762" t="4762" r="4762" b="4762"/>
            <wp:docPr id="6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b/>
          <w:highlight w:val="none"/>
        </w:rPr>
      </w:r>
      <w:r/>
      <w:r>
        <w:rPr>
          <w:b/>
        </w:rPr>
      </w:r>
      <w:r/>
    </w:p>
    <w:p>
      <w:pPr>
        <w:ind w:firstLine="0"/>
      </w:pPr>
      <w:r>
        <w:t xml:space="preserve">Межі вибірки: 1- 9</w:t>
      </w:r>
      <w:r/>
      <w:r/>
    </w:p>
    <w:p>
      <w:pPr>
        <w:ind w:firstLine="0"/>
      </w:pPr>
      <w:r>
        <w:t xml:space="preserve">Закон розподілу є 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6</w:t>
      </w:r>
      <w:r/>
      <w:r/>
    </w:p>
    <w:p>
      <w:pPr>
        <w:ind w:firstLine="0"/>
      </w:pPr>
      <w:r>
        <w:t xml:space="preserve">Середнє квадратичне відхилення – 2,615742</w:t>
      </w:r>
      <w:r/>
    </w:p>
    <w:p>
      <w:pPr>
        <w:ind w:firstLine="0"/>
      </w:pPr>
      <w:r/>
      <w:r>
        <w:t xml:space="preserve">Коефіцієнт асиметрії –  -0,66981</w:t>
      </w:r>
      <w:r/>
    </w:p>
    <w:p>
      <w:pPr>
        <w:ind w:firstLine="0"/>
      </w:pPr>
      <w:r>
        <w:t xml:space="preserve">Коефіцієнт ексцесу – -0,50548</w:t>
      </w:r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CALL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/>
      <w:r>
        <w:drawing>
          <wp:inline distT="0" distB="0" distL="0" distR="0">
            <wp:extent cx="4561879" cy="2826524"/>
            <wp:effectExtent l="4762" t="4762" r="4762" b="4762"/>
            <wp:docPr id="7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/>
      <w:r>
        <w:rPr>
          <w:b/>
        </w:rPr>
      </w:r>
      <w:r/>
    </w:p>
    <w:p>
      <w:pPr>
        <w:ind w:firstLine="0"/>
      </w:pPr>
      <w:r>
        <w:t xml:space="preserve">Межі вибірки: 1.51 - 2,94</w:t>
      </w:r>
      <w:r/>
    </w:p>
    <w:p>
      <w:pPr>
        <w:ind w:firstLine="0"/>
      </w:pPr>
      <w:r>
        <w:t xml:space="preserve">Закон розподілу є 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2,216</w:t>
      </w:r>
      <w:r/>
      <w:r/>
    </w:p>
    <w:p>
      <w:pPr>
        <w:ind w:firstLine="0"/>
      </w:pPr>
      <w:r>
        <w:t xml:space="preserve">Середнє квадратичне відхилення – 0,389621</w:t>
      </w:r>
      <w:r/>
    </w:p>
    <w:p>
      <w:pPr>
        <w:ind w:firstLine="0"/>
      </w:pPr>
      <w:r/>
      <w:r>
        <w:t xml:space="preserve">Коефіцієнт асиметрії –  0,157</w:t>
      </w:r>
      <w:r/>
      <w:r/>
    </w:p>
    <w:p>
      <w:pPr>
        <w:ind w:firstLine="0"/>
        <w:rPr>
          <w:highlight w:val="none"/>
        </w:rPr>
      </w:pPr>
      <w:r>
        <w:t xml:space="preserve">Коефіцієнт ексцесу – -0,46601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WMC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>
        <w:drawing>
          <wp:inline distT="0" distB="0" distL="0" distR="0">
            <wp:extent cx="4449534" cy="2881858"/>
            <wp:effectExtent l="4762" t="4762" r="4762" b="4762"/>
            <wp:docPr id="8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b/>
        </w:rPr>
      </w:r>
      <w:r/>
    </w:p>
    <w:p>
      <w:pPr>
        <w:ind w:firstLine="0"/>
      </w:pPr>
      <w:r>
        <w:t xml:space="preserve">Межі вибірки: 3 - 141</w:t>
      </w:r>
      <w:r/>
    </w:p>
    <w:p>
      <w:pPr>
        <w:ind w:firstLine="0"/>
      </w:pPr>
      <w:r>
        <w:t xml:space="preserve">Закон розподілу є 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71,85</w:t>
      </w:r>
      <w:r/>
    </w:p>
    <w:p>
      <w:pPr>
        <w:ind w:firstLine="0"/>
      </w:pPr>
      <w:r>
        <w:t xml:space="preserve">Середнє квадратичне відхилення – 41,45673</w:t>
      </w:r>
      <w:r/>
    </w:p>
    <w:p>
      <w:pPr>
        <w:ind w:firstLine="0"/>
      </w:pPr>
      <w:r/>
      <w:r>
        <w:t xml:space="preserve">Коефіцієнт асиметрії –  -0,14149</w:t>
      </w:r>
      <w:r/>
    </w:p>
    <w:p>
      <w:pPr>
        <w:ind w:firstLine="0"/>
      </w:pPr>
      <w:r>
        <w:t xml:space="preserve">Коефіцієнт ексцесу – -1,1176</w:t>
      </w:r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  <w:t xml:space="preserve">TCC</w:t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>
        <w:drawing>
          <wp:inline distT="0" distB="0" distL="0" distR="0">
            <wp:extent cx="4483553" cy="2388374"/>
            <wp:effectExtent l="4762" t="4762" r="4762" b="4762"/>
            <wp:docPr id="9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b/>
          <w:highlight w:val="none"/>
        </w:rPr>
      </w:r>
      <w:r/>
      <w:r>
        <w:rPr>
          <w:b/>
        </w:rPr>
      </w:r>
      <w:r/>
    </w:p>
    <w:p>
      <w:pPr>
        <w:ind w:firstLine="0"/>
      </w:pPr>
      <w:r>
        <w:t xml:space="preserve">Межі вибірки: 1,45 - 4,17</w:t>
      </w:r>
      <w:r/>
    </w:p>
    <w:p>
      <w:pPr>
        <w:ind w:firstLine="0"/>
      </w:pPr>
      <w:r>
        <w:t xml:space="preserve">Закон розподілу є 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2,3</w:t>
      </w:r>
      <w:r/>
      <w:r/>
    </w:p>
    <w:p>
      <w:pPr>
        <w:ind w:firstLine="0"/>
      </w:pPr>
      <w:r>
        <w:t xml:space="preserve">Середнє квадратичне відхилення – 0,709786</w:t>
      </w:r>
      <w:r/>
    </w:p>
    <w:p>
      <w:pPr>
        <w:ind w:firstLine="0"/>
      </w:pPr>
      <w:r/>
      <w:r>
        <w:t xml:space="preserve">Коефіцієнт асиметрії –  1,01</w:t>
      </w:r>
      <w:r/>
    </w:p>
    <w:p>
      <w:pPr>
        <w:ind w:firstLine="0"/>
        <w:rPr>
          <w:highlight w:val="none"/>
        </w:rPr>
      </w:pPr>
      <w:r/>
      <w:r>
        <w:t xml:space="preserve">Коефіцієнт ексцесу – 1,12122</w:t>
      </w:r>
      <w:r/>
      <w:r/>
    </w:p>
    <w:p>
      <w:pPr>
        <w:ind w:firstLine="0"/>
        <w:jc w:val="center"/>
        <w:rPr>
          <w:highlight w:val="none"/>
        </w:rPr>
      </w:pPr>
      <w:r>
        <w:rPr>
          <w:b/>
        </w:rPr>
      </w:r>
      <w:r>
        <w:rPr>
          <w:b/>
        </w:rPr>
      </w:r>
      <w:r>
        <w:rPr>
          <w:b/>
          <w:bCs/>
          <w:sz w:val="28"/>
          <w:szCs w:val="28"/>
        </w:rPr>
        <w:t xml:space="preserve">PNAS</w:t>
      </w:r>
      <w:r/>
      <w:r>
        <w:rPr>
          <w:b/>
        </w:rPr>
      </w:r>
      <w:r>
        <w:rPr>
          <w:b/>
        </w:rPr>
        <w:t xml:space="preserve">– до відкидання </w:t>
      </w:r>
      <w:r>
        <w:rPr>
          <w:b/>
          <w:highlight w:val="none"/>
        </w:rPr>
      </w:r>
      <w:r/>
    </w:p>
    <w:p>
      <w:pPr>
        <w:ind w:firstLine="0"/>
        <w:jc w:val="center"/>
      </w:pPr>
      <w:r>
        <w:rPr>
          <w:b/>
          <w:highlight w:val="none"/>
        </w:rPr>
      </w:r>
      <w:r/>
      <w:r>
        <w:drawing>
          <wp:inline distT="0" distB="0" distL="0" distR="0">
            <wp:extent cx="4609101" cy="2981197"/>
            <wp:effectExtent l="4762" t="4762" r="4762" b="4762"/>
            <wp:docPr id="10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/>
      <w:r>
        <w:rPr>
          <w:b/>
        </w:rPr>
      </w:r>
      <w:r/>
    </w:p>
    <w:p>
      <w:pPr>
        <w:ind w:firstLine="0"/>
      </w:pPr>
      <w:r>
        <w:t xml:space="preserve">Межі вибірки: 2 - 9</w:t>
      </w:r>
      <w:r/>
    </w:p>
    <w:p>
      <w:pPr>
        <w:ind w:firstLine="0"/>
      </w:pPr>
      <w:r>
        <w:t xml:space="preserve">Закон розподілу є  нормальним. </w:t>
      </w:r>
      <w:r/>
      <w:r/>
    </w:p>
    <w:p>
      <w:pPr>
        <w:ind w:firstLine="0"/>
      </w:pPr>
      <w:r>
        <w:t xml:space="preserve">М</w:t>
      </w:r>
      <w:r>
        <w:t xml:space="preserve">атематичне сподівання – 6,05</w:t>
      </w:r>
      <w:r/>
    </w:p>
    <w:p>
      <w:pPr>
        <w:ind w:firstLine="0"/>
      </w:pPr>
      <w:r>
        <w:t xml:space="preserve">Середнє квадратичне відхилення – 2,35</w:t>
      </w:r>
      <w:r/>
    </w:p>
    <w:p>
      <w:pPr>
        <w:ind w:firstLine="0"/>
      </w:pPr>
      <w:r/>
      <w:r>
        <w:t xml:space="preserve">Коефіцієнт асиметрії –  -0,23603</w:t>
      </w:r>
      <w:r/>
    </w:p>
    <w:p>
      <w:pPr>
        <w:ind w:firstLine="0"/>
      </w:pPr>
      <w:r/>
      <w:r>
        <w:t xml:space="preserve">Коефіцієнт ексцесу – -1,36388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67"/>
        <w:ind w:right="886"/>
        <w:spacing w:after="150"/>
        <w:rPr>
          <w:highlight w:val="none"/>
          <w:lang w:val="ru-RU"/>
        </w:rPr>
      </w:pPr>
      <w:r>
        <w:rPr>
          <w:lang w:val="ru-RU"/>
        </w:rPr>
        <w:t xml:space="preserve">Висновки</w:t>
      </w:r>
      <w:r>
        <w:rPr>
          <w:lang w:val="ru-RU"/>
        </w:rPr>
        <w:t xml:space="preserve"> </w:t>
      </w:r>
      <w:r/>
    </w:p>
    <w:p>
      <w:pPr>
        <w:ind w:right="782" w:firstLine="0"/>
        <w:jc w:val="left"/>
        <w:spacing w:after="152"/>
        <w:rPr>
          <w:lang w:val="ru-RU"/>
        </w:rPr>
      </w:pPr>
      <w:r>
        <w:rPr>
          <w:lang w:val="ru-RU"/>
        </w:rPr>
      </w:r>
      <w:r>
        <w:t xml:space="preserve">В цій лабораторній роботі мною було досліджено застосування, класифікацію та призначення емпіричних метрик програмного забезпечення. Також було опрацьовано навички вимірювання програмного забезпечення та використання метрик в р</w:t>
      </w:r>
      <w:r>
        <w:t xml:space="preserve">озробці. Опрацьовано навички будування закону розподілів метрик, визначення відхилення від оптимальних значень та їх причини. </w:t>
      </w:r>
      <w:r>
        <w:rPr>
          <w:lang w:val="ru-RU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324" w:right="255" w:bottom="1037" w:left="141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70"/>
    <w:link w:val="867"/>
    <w:uiPriority w:val="9"/>
    <w:rPr>
      <w:rFonts w:ascii="Arial" w:hAnsi="Arial" w:cs="Arial" w:eastAsia="Arial"/>
      <w:sz w:val="40"/>
      <w:szCs w:val="40"/>
    </w:rPr>
  </w:style>
  <w:style w:type="character" w:styleId="695">
    <w:name w:val="Heading 2 Char"/>
    <w:basedOn w:val="870"/>
    <w:link w:val="868"/>
    <w:uiPriority w:val="9"/>
    <w:rPr>
      <w:rFonts w:ascii="Arial" w:hAnsi="Arial" w:cs="Arial" w:eastAsia="Arial"/>
      <w:sz w:val="34"/>
    </w:rPr>
  </w:style>
  <w:style w:type="paragraph" w:styleId="696">
    <w:name w:val="Heading 3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7">
    <w:name w:val="Heading 3 Char"/>
    <w:basedOn w:val="870"/>
    <w:link w:val="696"/>
    <w:uiPriority w:val="9"/>
    <w:rPr>
      <w:rFonts w:ascii="Arial" w:hAnsi="Arial" w:cs="Arial" w:eastAsia="Arial"/>
      <w:sz w:val="30"/>
      <w:szCs w:val="30"/>
    </w:rPr>
  </w:style>
  <w:style w:type="character" w:styleId="698">
    <w:name w:val="Heading 4 Char"/>
    <w:basedOn w:val="870"/>
    <w:link w:val="869"/>
    <w:uiPriority w:val="9"/>
    <w:rPr>
      <w:rFonts w:ascii="Arial" w:hAnsi="Arial" w:cs="Arial" w:eastAsia="Arial"/>
      <w:b/>
      <w:bCs/>
      <w:sz w:val="26"/>
      <w:szCs w:val="26"/>
    </w:rPr>
  </w:style>
  <w:style w:type="paragraph" w:styleId="699">
    <w:name w:val="Heading 5"/>
    <w:basedOn w:val="866"/>
    <w:next w:val="866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0">
    <w:name w:val="Heading 5 Char"/>
    <w:basedOn w:val="870"/>
    <w:link w:val="699"/>
    <w:uiPriority w:val="9"/>
    <w:rPr>
      <w:rFonts w:ascii="Arial" w:hAnsi="Arial" w:cs="Arial" w:eastAsia="Arial"/>
      <w:b/>
      <w:bCs/>
      <w:sz w:val="24"/>
      <w:szCs w:val="24"/>
    </w:rPr>
  </w:style>
  <w:style w:type="paragraph" w:styleId="701">
    <w:name w:val="Heading 6"/>
    <w:basedOn w:val="866"/>
    <w:next w:val="866"/>
    <w:link w:val="7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2">
    <w:name w:val="Heading 6 Char"/>
    <w:basedOn w:val="870"/>
    <w:link w:val="701"/>
    <w:uiPriority w:val="9"/>
    <w:rPr>
      <w:rFonts w:ascii="Arial" w:hAnsi="Arial" w:cs="Arial" w:eastAsia="Arial"/>
      <w:b/>
      <w:bCs/>
      <w:sz w:val="22"/>
      <w:szCs w:val="22"/>
    </w:rPr>
  </w:style>
  <w:style w:type="paragraph" w:styleId="703">
    <w:name w:val="Heading 7"/>
    <w:basedOn w:val="866"/>
    <w:next w:val="866"/>
    <w:link w:val="7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4">
    <w:name w:val="Heading 7 Char"/>
    <w:basedOn w:val="870"/>
    <w:link w:val="7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5">
    <w:name w:val="Heading 8"/>
    <w:basedOn w:val="866"/>
    <w:next w:val="866"/>
    <w:link w:val="7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6">
    <w:name w:val="Heading 8 Char"/>
    <w:basedOn w:val="870"/>
    <w:link w:val="705"/>
    <w:uiPriority w:val="9"/>
    <w:rPr>
      <w:rFonts w:ascii="Arial" w:hAnsi="Arial" w:cs="Arial" w:eastAsia="Arial"/>
      <w:i/>
      <w:iCs/>
      <w:sz w:val="22"/>
      <w:szCs w:val="22"/>
    </w:rPr>
  </w:style>
  <w:style w:type="paragraph" w:styleId="707">
    <w:name w:val="Heading 9"/>
    <w:basedOn w:val="866"/>
    <w:next w:val="866"/>
    <w:link w:val="7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8">
    <w:name w:val="Heading 9 Char"/>
    <w:basedOn w:val="870"/>
    <w:link w:val="707"/>
    <w:uiPriority w:val="9"/>
    <w:rPr>
      <w:rFonts w:ascii="Arial" w:hAnsi="Arial" w:cs="Arial" w:eastAsia="Arial"/>
      <w:i/>
      <w:iCs/>
      <w:sz w:val="21"/>
      <w:szCs w:val="21"/>
    </w:rPr>
  </w:style>
  <w:style w:type="paragraph" w:styleId="709">
    <w:name w:val="No Spacing"/>
    <w:uiPriority w:val="1"/>
    <w:qFormat/>
    <w:pPr>
      <w:spacing w:before="0" w:after="0" w:line="240" w:lineRule="auto"/>
    </w:pPr>
  </w:style>
  <w:style w:type="paragraph" w:styleId="710">
    <w:name w:val="Title"/>
    <w:basedOn w:val="866"/>
    <w:next w:val="866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basedOn w:val="870"/>
    <w:link w:val="710"/>
    <w:uiPriority w:val="10"/>
    <w:rPr>
      <w:sz w:val="48"/>
      <w:szCs w:val="48"/>
    </w:rPr>
  </w:style>
  <w:style w:type="paragraph" w:styleId="712">
    <w:name w:val="Subtitle"/>
    <w:basedOn w:val="866"/>
    <w:next w:val="866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basedOn w:val="870"/>
    <w:link w:val="712"/>
    <w:uiPriority w:val="11"/>
    <w:rPr>
      <w:sz w:val="24"/>
      <w:szCs w:val="24"/>
    </w:rPr>
  </w:style>
  <w:style w:type="paragraph" w:styleId="714">
    <w:name w:val="Quote"/>
    <w:basedOn w:val="866"/>
    <w:next w:val="866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6"/>
    <w:next w:val="866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6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basedOn w:val="870"/>
    <w:link w:val="718"/>
    <w:uiPriority w:val="99"/>
  </w:style>
  <w:style w:type="paragraph" w:styleId="720">
    <w:name w:val="Footer"/>
    <w:basedOn w:val="866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basedOn w:val="870"/>
    <w:link w:val="720"/>
    <w:uiPriority w:val="99"/>
  </w:style>
  <w:style w:type="paragraph" w:styleId="722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3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4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5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6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7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8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basedOn w:val="870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basedOn w:val="870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867">
    <w:name w:val="Heading 1"/>
    <w:next w:val="866"/>
    <w:link w:val="873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868">
    <w:name w:val="Heading 2"/>
    <w:basedOn w:val="866"/>
    <w:next w:val="866"/>
    <w:link w:val="879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69">
    <w:name w:val="Heading 4"/>
    <w:basedOn w:val="866"/>
    <w:next w:val="866"/>
    <w:link w:val="884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870" w:default="1">
    <w:name w:val="Default Paragraph Font"/>
    <w:uiPriority w:val="1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character" w:styleId="873" w:customStyle="1">
    <w:name w:val="Заголовок 1 Знак"/>
    <w:link w:val="867"/>
    <w:rPr>
      <w:rFonts w:ascii="Times New Roman" w:hAnsi="Times New Roman" w:cs="Times New Roman" w:eastAsia="Times New Roman"/>
      <w:b/>
      <w:color w:val="000000"/>
      <w:sz w:val="28"/>
    </w:rPr>
  </w:style>
  <w:style w:type="table" w:styleId="874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5">
    <w:name w:val="HTML Preformatted"/>
    <w:basedOn w:val="866"/>
    <w:link w:val="876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876" w:customStyle="1">
    <w:name w:val="Стандартный HTML Знак"/>
    <w:basedOn w:val="870"/>
    <w:link w:val="875"/>
    <w:uiPriority w:val="99"/>
    <w:rPr>
      <w:rFonts w:ascii="Courier New" w:hAnsi="Courier New" w:cs="Courier New" w:eastAsia="Times New Roman"/>
      <w:sz w:val="20"/>
      <w:szCs w:val="20"/>
    </w:rPr>
  </w:style>
  <w:style w:type="character" w:styleId="877">
    <w:name w:val="Strong"/>
    <w:basedOn w:val="870"/>
    <w:uiPriority w:val="22"/>
    <w:qFormat/>
    <w:rPr>
      <w:b/>
      <w:bCs/>
    </w:rPr>
  </w:style>
  <w:style w:type="character" w:styleId="878">
    <w:name w:val="Hyperlink"/>
    <w:basedOn w:val="870"/>
    <w:uiPriority w:val="99"/>
    <w:unhideWhenUsed/>
    <w:rPr>
      <w:color w:val="0000FF"/>
      <w:u w:val="single"/>
    </w:rPr>
  </w:style>
  <w:style w:type="character" w:styleId="879" w:customStyle="1">
    <w:name w:val="Заголовок 2 Знак"/>
    <w:basedOn w:val="870"/>
    <w:link w:val="868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80" w:customStyle="1">
    <w:name w:val="author"/>
    <w:basedOn w:val="870"/>
  </w:style>
  <w:style w:type="character" w:styleId="881" w:customStyle="1">
    <w:name w:val="mx-1"/>
    <w:basedOn w:val="870"/>
  </w:style>
  <w:style w:type="table" w:styleId="882">
    <w:name w:val="Table Grid"/>
    <w:basedOn w:val="87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3">
    <w:name w:val="List Paragraph"/>
    <w:basedOn w:val="866"/>
    <w:uiPriority w:val="34"/>
    <w:qFormat/>
    <w:pPr>
      <w:contextualSpacing/>
      <w:ind w:left="720"/>
    </w:pPr>
  </w:style>
  <w:style w:type="character" w:styleId="884" w:customStyle="1">
    <w:name w:val="Заголовок 4 Знак"/>
    <w:basedOn w:val="870"/>
    <w:link w:val="869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885">
    <w:name w:val="Unresolved Mention"/>
    <w:basedOn w:val="870"/>
    <w:uiPriority w:val="99"/>
    <w:semiHidden/>
    <w:unhideWhenUsed/>
    <w:rPr>
      <w:color w:val="605E5C"/>
      <w:shd w:val="clear" w:color="auto" w:fill="e1dfdd"/>
    </w:rPr>
  </w:style>
  <w:style w:type="table" w:styleId="886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7" w:customStyle="1">
    <w:name w:val="Table Paragraph"/>
    <w:basedOn w:val="866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chart" Target="charts/chart1.xml" /><Relationship Id="rId14" Type="http://schemas.openxmlformats.org/officeDocument/2006/relationships/chart" Target="charts/chart2.xml" /><Relationship Id="rId15" Type="http://schemas.openxmlformats.org/officeDocument/2006/relationships/chart" Target="charts/chart3.xml" /><Relationship Id="rId16" Type="http://schemas.openxmlformats.org/officeDocument/2006/relationships/chart" Target="charts/chart4.xml" /><Relationship Id="rId17" Type="http://schemas.openxmlformats.org/officeDocument/2006/relationships/chart" Target="charts/chart5.xml" /><Relationship Id="rId18" Type="http://schemas.openxmlformats.org/officeDocument/2006/relationships/chart" Target="charts/chart6.xml" /><Relationship Id="rId19" Type="http://schemas.openxmlformats.org/officeDocument/2006/relationships/chart" Target="charts/chart7.xml" /><Relationship Id="rId20" Type="http://schemas.openxmlformats.org/officeDocument/2006/relationships/chart" Target="charts/chart8.xml" /><Relationship Id="rId21" Type="http://schemas.openxmlformats.org/officeDocument/2006/relationships/chart" Target="charts/chart9.xml" /><Relationship Id="rId22" Type="http://schemas.openxmlformats.org/officeDocument/2006/relationships/chart" Target="charts/chart10.xml" /><Relationship Id="rId23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10.xml.rels><?xml version="1.0" encoding="UTF-8" standalone="yes"?><Relationships xmlns="http://schemas.openxmlformats.org/package/2006/relationships"><Relationship Id="rId1" Type="http://schemas.microsoft.com/office/2011/relationships/chartStyle" Target="style10.xml" /><Relationship Id="rId2" Type="http://schemas.microsoft.com/office/2011/relationships/chartColorStyle" Target="colors10.xml" /><Relationship Id="rId3" Type="http://schemas.openxmlformats.org/officeDocument/2006/relationships/package" Target="../embeddings/Microsoft_Excel_Worksheet10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4.xml" /><Relationship Id="rId2" Type="http://schemas.microsoft.com/office/2011/relationships/chartColorStyle" Target="colors4.xml" /><Relationship Id="rId3" Type="http://schemas.openxmlformats.org/officeDocument/2006/relationships/package" Target="../embeddings/Microsoft_Excel_Worksheet4.xlsx" /></Relationships>
</file>

<file path=word/charts/_rels/chart5.xml.rels><?xml version="1.0" encoding="UTF-8" standalone="yes"?><Relationships xmlns="http://schemas.openxmlformats.org/package/2006/relationships"><Relationship Id="rId1" Type="http://schemas.microsoft.com/office/2011/relationships/chartStyle" Target="style5.xml" /><Relationship Id="rId2" Type="http://schemas.microsoft.com/office/2011/relationships/chartColorStyle" Target="colors5.xml" /><Relationship Id="rId3" Type="http://schemas.openxmlformats.org/officeDocument/2006/relationships/package" Target="../embeddings/Microsoft_Excel_Worksheet5.xlsx" /></Relationships>
</file>

<file path=word/charts/_rels/chart6.xml.rels><?xml version="1.0" encoding="UTF-8" standalone="yes"?><Relationships xmlns="http://schemas.openxmlformats.org/package/2006/relationships"><Relationship Id="rId1" Type="http://schemas.microsoft.com/office/2011/relationships/chartStyle" Target="style6.xml" /><Relationship Id="rId2" Type="http://schemas.microsoft.com/office/2011/relationships/chartColorStyle" Target="colors6.xml" /><Relationship Id="rId3" Type="http://schemas.openxmlformats.org/officeDocument/2006/relationships/package" Target="../embeddings/Microsoft_Excel_Worksheet6.xlsx" /></Relationships>
</file>

<file path=word/charts/_rels/chart7.xml.rels><?xml version="1.0" encoding="UTF-8" standalone="yes"?><Relationships xmlns="http://schemas.openxmlformats.org/package/2006/relationships"><Relationship Id="rId1" Type="http://schemas.microsoft.com/office/2011/relationships/chartStyle" Target="style7.xml" /><Relationship Id="rId2" Type="http://schemas.microsoft.com/office/2011/relationships/chartColorStyle" Target="colors7.xml" /><Relationship Id="rId3" Type="http://schemas.openxmlformats.org/officeDocument/2006/relationships/package" Target="../embeddings/Microsoft_Excel_Worksheet7.xlsx" /></Relationships>
</file>

<file path=word/charts/_rels/chart8.xml.rels><?xml version="1.0" encoding="UTF-8" standalone="yes"?><Relationships xmlns="http://schemas.openxmlformats.org/package/2006/relationships"><Relationship Id="rId1" Type="http://schemas.microsoft.com/office/2011/relationships/chartStyle" Target="style8.xml" /><Relationship Id="rId2" Type="http://schemas.microsoft.com/office/2011/relationships/chartColorStyle" Target="colors8.xml" /><Relationship Id="rId3" Type="http://schemas.openxmlformats.org/officeDocument/2006/relationships/package" Target="../embeddings/Microsoft_Excel_Worksheet8.xlsx" /></Relationships>
</file>

<file path=word/charts/_rels/chart9.xml.rels><?xml version="1.0" encoding="UTF-8" standalone="yes"?><Relationships xmlns="http://schemas.openxmlformats.org/package/2006/relationships"><Relationship Id="rId1" Type="http://schemas.microsoft.com/office/2011/relationships/chartStyle" Target="style9.xml" /><Relationship Id="rId2" Type="http://schemas.microsoft.com/office/2011/relationships/chartColorStyle" Target="colors9.xml" /><Relationship Id="rId3" Type="http://schemas.openxmlformats.org/officeDocument/2006/relationships/package" Target="../embeddings/Microsoft_Excel_Worksheet9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NOM</a:t>
            </a:r>
            <a:endParaRPr/>
          </a:p>
        </c:rich>
      </c:tx>
      <c:layout>
        <c:manualLayout>
          <c:x val="0"/>
          <c:y val="-0.0044799999999999996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>
          <c:layoutTarget val="inner"/>
          <c:xMode val="edge"/>
          <c:yMode val="edge"/>
          <c:x val="0.086150000000000004"/>
          <c:y val="0.15376999999999999"/>
          <c:w val="0.89720999999999995"/>
          <c:h val="0.68927000000000005"/>
        </c:manualLayout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NOM!$A$2:$A$20</c:f>
              <c:numCache>
                <c:formatCode>0.00</c:formatCode>
                <c:ptCount val="19"/>
                <c:pt idx="0">
                  <c:v>9.2</c:v>
                </c:pt>
                <c:pt idx="1">
                  <c:v>5.7</c:v>
                </c:pt>
                <c:pt idx="2">
                  <c:v>9.1</c:v>
                </c:pt>
                <c:pt idx="3">
                  <c:v>8.3</c:v>
                </c:pt>
                <c:pt idx="4">
                  <c:v>7</c:v>
                </c:pt>
                <c:pt idx="5">
                  <c:v>4.2</c:v>
                </c:pt>
                <c:pt idx="6">
                  <c:v>3.6</c:v>
                </c:pt>
                <c:pt idx="7">
                  <c:v>7.1</c:v>
                </c:pt>
                <c:pt idx="8">
                  <c:v>6.9</c:v>
                </c:pt>
                <c:pt idx="9">
                  <c:v>4.3</c:v>
                </c:pt>
                <c:pt idx="10">
                  <c:v>6.8</c:v>
                </c:pt>
                <c:pt idx="11">
                  <c:v>9.2</c:v>
                </c:pt>
                <c:pt idx="12">
                  <c:v>5.9</c:v>
                </c:pt>
                <c:pt idx="13">
                  <c:v>5.2</c:v>
                </c:pt>
                <c:pt idx="14">
                  <c:v>8</c:v>
                </c:pt>
                <c:pt idx="15">
                  <c:v>7.8</c:v>
                </c:pt>
                <c:pt idx="16">
                  <c:v>2.9</c:v>
                </c:pt>
                <c:pt idx="17">
                  <c:v>3.6</c:v>
                </c:pt>
                <c:pt idx="18">
                  <c:v>2.6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1866169490"/>
        <c:axId val="1866169491"/>
      </c:barChart>
      <c:catAx>
        <c:axId val="186616949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91"/>
        <c:crosses val="autoZero"/>
        <c:auto val="1"/>
        <c:lblAlgn val="ctr"/>
        <c:lblOffset val="100"/>
        <c:noMultiLvlLbl val="0"/>
      </c:catAx>
      <c:valAx>
        <c:axId val="186616949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0.0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90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554801" cy="273975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PNAS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PNAS!$A$1:$A$20</c:f>
              <c:numCache>
                <c:formatCode>General</c:formatCode>
                <c:ptCount val="20"/>
                <c:pt idx="0">
                  <c:v>2</c:v>
                </c:pt>
                <c:pt idx="1">
                  <c:v>9</c:v>
                </c:pt>
                <c:pt idx="2">
                  <c:v>9</c:v>
                </c:pt>
                <c:pt idx="3">
                  <c:v>5</c:v>
                </c:pt>
                <c:pt idx="4">
                  <c:v>3</c:v>
                </c:pt>
                <c:pt idx="5">
                  <c:v>4</c:v>
                </c:pt>
                <c:pt idx="6">
                  <c:v>8</c:v>
                </c:pt>
                <c:pt idx="7">
                  <c:v>7</c:v>
                </c:pt>
                <c:pt idx="8">
                  <c:v>3</c:v>
                </c:pt>
                <c:pt idx="9">
                  <c:v>4</c:v>
                </c:pt>
                <c:pt idx="10">
                  <c:v>6</c:v>
                </c:pt>
                <c:pt idx="11">
                  <c:v>3</c:v>
                </c:pt>
                <c:pt idx="12">
                  <c:v>4</c:v>
                </c:pt>
                <c:pt idx="13">
                  <c:v>9</c:v>
                </c:pt>
                <c:pt idx="14">
                  <c:v>7</c:v>
                </c:pt>
                <c:pt idx="15">
                  <c:v>8</c:v>
                </c:pt>
                <c:pt idx="16">
                  <c:v>7</c:v>
                </c:pt>
                <c:pt idx="17">
                  <c:v>7</c:v>
                </c:pt>
                <c:pt idx="18">
                  <c:v>9</c:v>
                </c:pt>
                <c:pt idx="19">
                  <c:v>7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624"/>
        <c:axId val="2140841625"/>
      </c:barChart>
      <c:catAx>
        <c:axId val="214084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25"/>
        <c:crosses val="autoZero"/>
        <c:auto val="1"/>
        <c:lblAlgn val="ctr"/>
        <c:lblOffset val="100"/>
        <c:noMultiLvlLbl val="0"/>
      </c:catAx>
      <c:valAx>
        <c:axId val="214084162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2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609101" cy="29811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NOC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>
          <c:layoutTarget val="inner"/>
          <c:xMode val="edge"/>
          <c:yMode val="edge"/>
          <c:x val="-0.15340000000000001"/>
          <c:y val="-0.27696999999999999"/>
          <c:w val="0.90193000000000001"/>
          <c:h val="0.75258000000000003"/>
        </c:manualLayout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NOC!$A$1:$A$20</c:f>
              <c:numCache>
                <c:formatCode>General</c:formatCode>
                <c:ptCount val="20"/>
                <c:pt idx="0">
                  <c:v>199</c:v>
                </c:pt>
                <c:pt idx="1">
                  <c:v>43921</c:v>
                </c:pt>
                <c:pt idx="2">
                  <c:v>20098</c:v>
                </c:pt>
                <c:pt idx="3">
                  <c:v>21220</c:v>
                </c:pt>
                <c:pt idx="4">
                  <c:v>611</c:v>
                </c:pt>
                <c:pt idx="5">
                  <c:v>5541</c:v>
                </c:pt>
                <c:pt idx="6">
                  <c:v>5043</c:v>
                </c:pt>
                <c:pt idx="7">
                  <c:v>7064</c:v>
                </c:pt>
                <c:pt idx="8">
                  <c:v>1408</c:v>
                </c:pt>
                <c:pt idx="9">
                  <c:v>67923</c:v>
                </c:pt>
                <c:pt idx="10">
                  <c:v>62274</c:v>
                </c:pt>
                <c:pt idx="11">
                  <c:v>2475</c:v>
                </c:pt>
                <c:pt idx="12">
                  <c:v>983</c:v>
                </c:pt>
                <c:pt idx="13">
                  <c:v>3160</c:v>
                </c:pt>
                <c:pt idx="14">
                  <c:v>34563</c:v>
                </c:pt>
                <c:pt idx="15">
                  <c:v>67345</c:v>
                </c:pt>
                <c:pt idx="16">
                  <c:v>23453</c:v>
                </c:pt>
                <c:pt idx="17">
                  <c:v>341</c:v>
                </c:pt>
                <c:pt idx="18">
                  <c:v>67700</c:v>
                </c:pt>
                <c:pt idx="19">
                  <c:v>234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39"/>
        <c:axId val="2140841540"/>
      </c:barChart>
      <c:catAx>
        <c:axId val="21408415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40"/>
        <c:crosses val="autoZero"/>
        <c:auto val="1"/>
        <c:lblAlgn val="ctr"/>
        <c:lblOffset val="100"/>
        <c:noMultiLvlLbl val="0"/>
      </c:catAx>
      <c:valAx>
        <c:axId val="214084154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3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275790" cy="28447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NOC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NOC!$D$1:$D$20</c:f>
              <c:numCache>
                <c:formatCode>General</c:formatCode>
                <c:ptCount val="20"/>
                <c:pt idx="0">
                  <c:v>199</c:v>
                </c:pt>
                <c:pt idx="1">
                  <c:v>43921</c:v>
                </c:pt>
                <c:pt idx="2">
                  <c:v>20098</c:v>
                </c:pt>
                <c:pt idx="3">
                  <c:v>21220</c:v>
                </c:pt>
                <c:pt idx="4">
                  <c:v>611</c:v>
                </c:pt>
                <c:pt idx="5">
                  <c:v>5541</c:v>
                </c:pt>
                <c:pt idx="6">
                  <c:v>5043</c:v>
                </c:pt>
                <c:pt idx="7">
                  <c:v>7064</c:v>
                </c:pt>
                <c:pt idx="8">
                  <c:v>1408</c:v>
                </c:pt>
                <c:pt idx="9">
                  <c:v>0</c:v>
                </c:pt>
                <c:pt idx="10">
                  <c:v>62274</c:v>
                </c:pt>
                <c:pt idx="11">
                  <c:v>2475</c:v>
                </c:pt>
                <c:pt idx="12">
                  <c:v>983</c:v>
                </c:pt>
                <c:pt idx="13">
                  <c:v>3160</c:v>
                </c:pt>
                <c:pt idx="14">
                  <c:v>34563</c:v>
                </c:pt>
                <c:pt idx="15">
                  <c:v>0</c:v>
                </c:pt>
                <c:pt idx="16">
                  <c:v>23453</c:v>
                </c:pt>
                <c:pt idx="17">
                  <c:v>341</c:v>
                </c:pt>
                <c:pt idx="18">
                  <c:v>0</c:v>
                </c:pt>
                <c:pt idx="19">
                  <c:v>234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48"/>
        <c:axId val="2140841549"/>
      </c:barChart>
      <c:catAx>
        <c:axId val="21408415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49"/>
        <c:crosses val="autoZero"/>
        <c:auto val="1"/>
        <c:lblAlgn val="ctr"/>
        <c:lblOffset val="100"/>
        <c:noMultiLvlLbl val="0"/>
      </c:catAx>
      <c:valAx>
        <c:axId val="2140841549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4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333998" cy="312102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NOP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NOP!$A$1:$A$20</c:f>
              <c:numCache>
                <c:formatCode>General</c:formatCode>
                <c:ptCount val="20"/>
                <c:pt idx="0" formatCode="General">
                  <c:v>1.62</c:v>
                </c:pt>
                <c:pt idx="1" formatCode="0.00">
                  <c:v>4.86</c:v>
                </c:pt>
                <c:pt idx="2" formatCode="General">
                  <c:v>3.84</c:v>
                </c:pt>
                <c:pt idx="3" formatCode="General">
                  <c:v>6.03</c:v>
                </c:pt>
                <c:pt idx="4" formatCode="General">
                  <c:v>2.46</c:v>
                </c:pt>
                <c:pt idx="5" formatCode="General">
                  <c:v>7.88</c:v>
                </c:pt>
                <c:pt idx="6" formatCode="General">
                  <c:v>2.95</c:v>
                </c:pt>
                <c:pt idx="7" formatCode="General">
                  <c:v>10.24</c:v>
                </c:pt>
                <c:pt idx="8" formatCode="General">
                  <c:v>2.5</c:v>
                </c:pt>
                <c:pt idx="9" formatCode="General">
                  <c:v>10.5</c:v>
                </c:pt>
                <c:pt idx="10" formatCode="General">
                  <c:v>6.07</c:v>
                </c:pt>
                <c:pt idx="11" formatCode="General">
                  <c:v>9.05</c:v>
                </c:pt>
                <c:pt idx="12" formatCode="General">
                  <c:v>19</c:v>
                </c:pt>
                <c:pt idx="13" formatCode="General">
                  <c:v>4.69</c:v>
                </c:pt>
                <c:pt idx="14" formatCode="General">
                  <c:v>7</c:v>
                </c:pt>
                <c:pt idx="15" formatCode="General">
                  <c:v>4.54</c:v>
                </c:pt>
                <c:pt idx="16" formatCode="General">
                  <c:v>4.42</c:v>
                </c:pt>
                <c:pt idx="17" formatCode="General">
                  <c:v>6.51</c:v>
                </c:pt>
                <c:pt idx="18" formatCode="General">
                  <c:v>4.35</c:v>
                </c:pt>
                <c:pt idx="19" formatCode="General">
                  <c:v>5.12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66"/>
        <c:axId val="2140841567"/>
      </c:barChart>
      <c:catAx>
        <c:axId val="214084156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67"/>
        <c:crosses val="autoZero"/>
        <c:auto val="1"/>
        <c:lblAlgn val="ctr"/>
        <c:lblOffset val="100"/>
        <c:noMultiLvlLbl val="0"/>
      </c:catAx>
      <c:valAx>
        <c:axId val="214084156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6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122612" cy="310637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NOP</a:t>
            </a:r>
            <a:endParaRPr/>
          </a:p>
        </c:rich>
      </c:tx>
      <c:layout>
        <c:manualLayout>
          <c:x val="0"/>
          <c:y val="-0.0041999999999999997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NOP!$D$1:$D$19</c:f>
              <c:numCache>
                <c:formatCode>General</c:formatCode>
                <c:ptCount val="19"/>
                <c:pt idx="0">
                  <c:v>1.62</c:v>
                </c:pt>
                <c:pt idx="1">
                  <c:v>4.86</c:v>
                </c:pt>
                <c:pt idx="2">
                  <c:v>3.84</c:v>
                </c:pt>
                <c:pt idx="3">
                  <c:v>6.03</c:v>
                </c:pt>
                <c:pt idx="4">
                  <c:v>2.46</c:v>
                </c:pt>
                <c:pt idx="5">
                  <c:v>7.88</c:v>
                </c:pt>
                <c:pt idx="6">
                  <c:v>2.95</c:v>
                </c:pt>
                <c:pt idx="7">
                  <c:v>10.24</c:v>
                </c:pt>
                <c:pt idx="8">
                  <c:v>2.5</c:v>
                </c:pt>
                <c:pt idx="9">
                  <c:v>10.5</c:v>
                </c:pt>
                <c:pt idx="10">
                  <c:v>6.07</c:v>
                </c:pt>
                <c:pt idx="11">
                  <c:v>9.05</c:v>
                </c:pt>
                <c:pt idx="12">
                  <c:v>4.69</c:v>
                </c:pt>
                <c:pt idx="13">
                  <c:v>7</c:v>
                </c:pt>
                <c:pt idx="14">
                  <c:v>4.54</c:v>
                </c:pt>
                <c:pt idx="15">
                  <c:v>4.42</c:v>
                </c:pt>
                <c:pt idx="16">
                  <c:v>6.51</c:v>
                </c:pt>
                <c:pt idx="17">
                  <c:v>4.35</c:v>
                </c:pt>
                <c:pt idx="18">
                  <c:v>5.12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75"/>
        <c:axId val="2140841576"/>
      </c:barChart>
      <c:catAx>
        <c:axId val="2140841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76"/>
        <c:crosses val="autoZero"/>
        <c:auto val="1"/>
        <c:lblAlgn val="ctr"/>
        <c:lblOffset val="100"/>
        <c:noMultiLvlLbl val="0"/>
      </c:catAx>
      <c:valAx>
        <c:axId val="214084157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7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980780" cy="283368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NDD</a:t>
            </a:r>
            <a:endParaRPr/>
          </a:p>
        </c:rich>
      </c:tx>
      <c:layout>
        <c:manualLayout>
          <c:x val="-0.00264"/>
          <c:y val="0.01652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NDD!$A$1:$A$20</c:f>
              <c:numCache>
                <c:formatCode>General</c:formatCode>
                <c:ptCount val="20"/>
                <c:pt idx="0">
                  <c:v>3</c:v>
                </c:pt>
                <c:pt idx="1">
                  <c:v>9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4</c:v>
                </c:pt>
                <c:pt idx="6">
                  <c:v>7</c:v>
                </c:pt>
                <c:pt idx="7">
                  <c:v>6</c:v>
                </c:pt>
                <c:pt idx="8">
                  <c:v>9</c:v>
                </c:pt>
                <c:pt idx="9">
                  <c:v>2</c:v>
                </c:pt>
                <c:pt idx="10">
                  <c:v>5</c:v>
                </c:pt>
                <c:pt idx="11">
                  <c:v>9</c:v>
                </c:pt>
                <c:pt idx="12">
                  <c:v>8</c:v>
                </c:pt>
                <c:pt idx="13">
                  <c:v>1</c:v>
                </c:pt>
                <c:pt idx="14">
                  <c:v>6</c:v>
                </c:pt>
                <c:pt idx="15">
                  <c:v>8</c:v>
                </c:pt>
                <c:pt idx="16">
                  <c:v>7</c:v>
                </c:pt>
                <c:pt idx="17">
                  <c:v>1</c:v>
                </c:pt>
                <c:pt idx="18">
                  <c:v>5</c:v>
                </c:pt>
                <c:pt idx="19">
                  <c:v>7</c:v>
                </c:pt>
              </c:numCache>
            </c:numRef>
          </c:val>
        </c:ser>
        <c:ser>
          <c:idx val="1"/>
          <c:order val="1"/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val>
            <c:numRef>
              <c:f>NDD!$B$1:$B$20</c:f>
              <c:numCache>
                <c:formatCode>General</c:formatCode>
                <c:ptCount val="20"/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84"/>
        <c:axId val="2140841585"/>
      </c:barChart>
      <c:catAx>
        <c:axId val="214084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85"/>
        <c:crosses val="autoZero"/>
        <c:auto val="1"/>
        <c:lblAlgn val="ctr"/>
        <c:lblOffset val="100"/>
        <c:noMultiLvlLbl val="0"/>
      </c:catAx>
      <c:valAx>
        <c:axId val="214084158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8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742258" cy="311793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CALL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CALL!$A$1:$A$20</c:f>
              <c:numCache>
                <c:formatCode>General</c:formatCode>
                <c:ptCount val="20"/>
                <c:pt idx="0">
                  <c:v>1.75</c:v>
                </c:pt>
                <c:pt idx="1">
                  <c:v>2.43</c:v>
                </c:pt>
                <c:pt idx="2">
                  <c:v>2.15</c:v>
                </c:pt>
                <c:pt idx="3">
                  <c:v>2.72</c:v>
                </c:pt>
                <c:pt idx="4">
                  <c:v>2.32</c:v>
                </c:pt>
                <c:pt idx="5">
                  <c:v>2.48</c:v>
                </c:pt>
                <c:pt idx="6">
                  <c:v>1.74</c:v>
                </c:pt>
                <c:pt idx="7">
                  <c:v>2.94</c:v>
                </c:pt>
                <c:pt idx="8">
                  <c:v>2.09</c:v>
                </c:pt>
                <c:pt idx="9">
                  <c:v>2.33</c:v>
                </c:pt>
                <c:pt idx="10">
                  <c:v>2.12</c:v>
                </c:pt>
                <c:pt idx="11">
                  <c:v>2.89</c:v>
                </c:pt>
                <c:pt idx="12">
                  <c:v>2.56</c:v>
                </c:pt>
                <c:pt idx="13">
                  <c:v>1.73</c:v>
                </c:pt>
                <c:pt idx="14">
                  <c:v>2.38</c:v>
                </c:pt>
                <c:pt idx="15">
                  <c:v>2.21</c:v>
                </c:pt>
                <c:pt idx="16">
                  <c:v>1.94</c:v>
                </c:pt>
                <c:pt idx="17">
                  <c:v>1.51</c:v>
                </c:pt>
                <c:pt idx="18">
                  <c:v>1.98</c:v>
                </c:pt>
                <c:pt idx="19">
                  <c:v>2.05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599"/>
        <c:axId val="2140841600"/>
      </c:barChart>
      <c:catAx>
        <c:axId val="214084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00"/>
        <c:crosses val="autoZero"/>
        <c:auto val="1"/>
        <c:lblAlgn val="ctr"/>
        <c:lblOffset val="100"/>
        <c:noMultiLvlLbl val="0"/>
      </c:catAx>
      <c:valAx>
        <c:axId val="214084160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59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561878" cy="282652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CALL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CALL!$A$1:$A$20</c:f>
              <c:numCache>
                <c:formatCode>General</c:formatCode>
                <c:ptCount val="20"/>
                <c:pt idx="0">
                  <c:v>1.75</c:v>
                </c:pt>
                <c:pt idx="1">
                  <c:v>2.43</c:v>
                </c:pt>
                <c:pt idx="2">
                  <c:v>2.15</c:v>
                </c:pt>
                <c:pt idx="3">
                  <c:v>2.72</c:v>
                </c:pt>
                <c:pt idx="4">
                  <c:v>2.32</c:v>
                </c:pt>
                <c:pt idx="5">
                  <c:v>2.48</c:v>
                </c:pt>
                <c:pt idx="6">
                  <c:v>1.74</c:v>
                </c:pt>
                <c:pt idx="7">
                  <c:v>2.94</c:v>
                </c:pt>
                <c:pt idx="8">
                  <c:v>2.09</c:v>
                </c:pt>
                <c:pt idx="9">
                  <c:v>2.33</c:v>
                </c:pt>
                <c:pt idx="10">
                  <c:v>2.12</c:v>
                </c:pt>
                <c:pt idx="11">
                  <c:v>2.89</c:v>
                </c:pt>
                <c:pt idx="12">
                  <c:v>2.56</c:v>
                </c:pt>
                <c:pt idx="13">
                  <c:v>1.73</c:v>
                </c:pt>
                <c:pt idx="14">
                  <c:v>2.38</c:v>
                </c:pt>
                <c:pt idx="15">
                  <c:v>2.21</c:v>
                </c:pt>
                <c:pt idx="16">
                  <c:v>1.94</c:v>
                </c:pt>
                <c:pt idx="17">
                  <c:v>1.51</c:v>
                </c:pt>
                <c:pt idx="18">
                  <c:v>1.98</c:v>
                </c:pt>
                <c:pt idx="19">
                  <c:v>2.05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2140841601"/>
        <c:axId val="2140841602"/>
      </c:barChart>
      <c:catAx>
        <c:axId val="214084160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02"/>
        <c:crosses val="autoZero"/>
        <c:auto val="1"/>
        <c:lblAlgn val="ctr"/>
        <c:lblOffset val="100"/>
        <c:noMultiLvlLbl val="0"/>
      </c:catAx>
      <c:valAx>
        <c:axId val="214084160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0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449534" cy="288185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>
        <c:manualLayout>
          <c:x val="0.11548"/>
          <c:y val="0.055809999999999998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TCC!$A$1:$A$20</c:f>
              <c:numCache>
                <c:formatCode>General</c:formatCode>
                <c:ptCount val="20"/>
                <c:pt idx="0">
                  <c:v>2.16</c:v>
                </c:pt>
                <c:pt idx="1">
                  <c:v>3.24</c:v>
                </c:pt>
                <c:pt idx="2">
                  <c:v>3.4</c:v>
                </c:pt>
                <c:pt idx="3">
                  <c:v>2.13</c:v>
                </c:pt>
                <c:pt idx="4">
                  <c:v>4.17</c:v>
                </c:pt>
                <c:pt idx="5">
                  <c:v>1.49</c:v>
                </c:pt>
                <c:pt idx="6">
                  <c:v>2.33</c:v>
                </c:pt>
                <c:pt idx="7">
                  <c:v>2.63</c:v>
                </c:pt>
                <c:pt idx="8">
                  <c:v>1.6</c:v>
                </c:pt>
                <c:pt idx="9">
                  <c:v>1.45</c:v>
                </c:pt>
                <c:pt idx="10">
                  <c:v>1.93</c:v>
                </c:pt>
                <c:pt idx="11">
                  <c:v>1.5</c:v>
                </c:pt>
                <c:pt idx="12">
                  <c:v>2.3</c:v>
                </c:pt>
                <c:pt idx="13">
                  <c:v>2.45</c:v>
                </c:pt>
                <c:pt idx="14">
                  <c:v>2.21</c:v>
                </c:pt>
                <c:pt idx="15">
                  <c:v>1.7</c:v>
                </c:pt>
                <c:pt idx="16">
                  <c:v>3.1</c:v>
                </c:pt>
                <c:pt idx="17">
                  <c:v>2.14</c:v>
                </c:pt>
                <c:pt idx="18">
                  <c:v>2.28</c:v>
                </c:pt>
                <c:pt idx="19">
                  <c:v>1.95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2140841615"/>
        <c:axId val="2140841616"/>
      </c:barChart>
      <c:catAx>
        <c:axId val="214084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16"/>
        <c:crosses val="autoZero"/>
        <c:auto val="1"/>
        <c:lblAlgn val="ctr"/>
        <c:lblOffset val="100"/>
        <c:noMultiLvlLbl val="0"/>
      </c:catAx>
      <c:valAx>
        <c:axId val="214084161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214084161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483552" cy="238837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13</cp:revision>
  <dcterms:created xsi:type="dcterms:W3CDTF">2021-03-03T09:54:00Z</dcterms:created>
  <dcterms:modified xsi:type="dcterms:W3CDTF">2022-04-25T13:55:54Z</dcterms:modified>
</cp:coreProperties>
</file>