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whose-legal-thought-stays-protected"/>
    <w:p>
      <w:pPr>
        <w:pStyle w:val="Heading1"/>
      </w:pPr>
      <w:r>
        <w:t xml:space="preserve">Whose Legal Thought Stays Protected?</w:t>
      </w:r>
    </w:p>
    <w:bookmarkStart w:id="9" w:name="Xe3d310e3e26fc26e669ed32072b1d34a7cc54e3"/>
    <w:p>
      <w:pPr>
        <w:pStyle w:val="Heading2"/>
      </w:pPr>
      <w:r>
        <w:t xml:space="preserve">AI, Work Product, and the Civil Rights of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The fracture raises a civil rights problem. As AI becomes a primary means of legal preparation, access to protected legal reasoning increasingly tracks professional credential and platform tier rather than function. Effective participation in legal proceedings requires the ability to prepare without compelled disclosure, and the uneven protection of AI-assisted work entrenches structural inequality. The most exposed are the people who rely on AI most heavily to exercise legal rights: litigants without counsel and without access to enterprise-grade tools.</w:t>
      </w:r>
    </w:p>
    <w:p>
      <w:pPr>
        <w:pStyle w:val="BodyText"/>
      </w:pPr>
      <w:r>
        <w:t xml:space="preserve">This emerging regime implicates core concerns of civil rights law: equal protection, procedural fairness, and meaningful access to legal institutions. The term carries both senses in this Essay — the constitutional guarantees of equal protection, due process, and access to courts, and the broader tradition of identifying structural arrangements that perpetuate inequality even where formal legal equality exists. The rule that follows is functional: work-product protection should attach to the nature of legal preparation in anticipation of proceedings, not to the professional identity of the preparer or the technological channel through which the work is produced.</w:t>
      </w:r>
    </w:p>
    <w:p>
      <w:r>
        <w:pict>
          <v:rect style="width:0;height:1.5pt" o:hralign="center" o:hrstd="t" o:hr="t"/>
        </w:pict>
      </w:r>
    </w:p>
    <w:bookmarkEnd w:id="10"/>
    <w:bookmarkStart w:id="18" w:name="X4d19dfbdfa7e9ed1b34c120ffa09c2493790d6b"/>
    <w:p>
      <w:pPr>
        <w:pStyle w:val="Heading2"/>
      </w:pPr>
      <w:r>
        <w:t xml:space="preserve">I. Introduction: The Fracture Becomes Visible</w:t>
      </w:r>
    </w:p>
    <w:p>
      <w:pPr>
        <w:pStyle w:val="FirstParagraph"/>
      </w:pPr>
      <w:r>
        <w:t xml:space="preserve">On February 10, 2026, two federal courts confronted the same question and reached opposite conclusions.</w:t>
      </w:r>
      <w:r>
        <w:rPr>
          <w:rStyle w:val="FootnoteReference"/>
        </w:rPr>
        <w:footnoteReference w:id="11"/>
      </w:r>
      <w:r>
        <w:t xml:space="preserve"> </w:t>
      </w:r>
      <w:r>
        <w:t xml:space="preserve">The question was whether materials a person prepared with the help of a publicly available AI platform — legal research, case analysis, strategic planning — are protected work product, or whether they are discoverable because the AI platform is not an attorney and its terms of service disclaim confidentiality. The answer, it turns out, depends on who the person is. Every transformative technology eventually outruns the doctrinal categories that govern it. AI is doing that now, and the variation it introduces is less a doctrinal failure than a condition the system has not yet built infrastructure for.</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w:t>
      </w:r>
      <w:r>
        <w:t xml:space="preserve"> </w:t>
      </w:r>
      <w:r>
        <w:t xml:space="preserve">“core”</w:t>
      </w:r>
      <w:r>
        <w:t xml:space="preserve"> </w:t>
      </w:r>
      <w:r>
        <w:t xml:space="preserve">of the work-product doctrine (</w:t>
      </w:r>
      <w:r>
        <w:t xml:space="preserve">“shelter[ing] the mental processes of the attorney, providing a privileged area within which he can analyze and prepare his client’s case”</w:t>
      </w:r>
      <w:r>
        <w:t xml:space="preserve">), 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Within days of each other,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w:t>
      </w:r>
      <w:r>
        <w:t xml:space="preserve"> </w:t>
      </w:r>
      <w:r>
        <w:t xml:space="preserv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w:t>
      </w:r>
      <w:r>
        <w:t xml:space="preserve"> </w:t>
      </w:r>
      <w:r>
        <w:t xml:space="preserve">“would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 — the ability to research, analyze, and strategize without surrendering that work to the opposing side — attaches to the nature of the work or to the status of the person doing it. Existing scholarship treats AI as a civil rights threat in employment, housing, and criminal sentencing, but has not yet examined how AI’s role in legal preparation itself implicates equal treatment, fair procedure, and access to the courts. What the split reveals is a structural inequality in the distribution of protected legal thought, one that AI has made visible and that civil rights law is positioned to address. At its sharpest edge, the gap leaves crime victims — who are not parties to the criminal proceeding, not represented by the prosecutor, and not entitled to appointed counsel — with no work-product framework for their preparation at all. The core thesis follows: work-product protection is increasingly determined by professional credential and subscription tier rather than by function, and that arrangement conditions the exercise of fundamental rights on status and access.</w:t>
      </w:r>
    </w:p>
    <w:p>
      <w:pPr>
        <w:pStyle w:val="BodyText"/>
      </w:pPr>
      <w:r>
        <w:t xml:space="preserve">The argument tracks that thesis in stages. The next part shows how AI broke the credential-to-capability link the doctrine assumed; the one after that maps the contractual and institutional architecture that has stepped in to do the gatekeeping the credential used to do. From there, the asymmetry sits inside civil rights law, where it implicates equal treatment, procedural fairness, and access to the courts. A functional rule follows, with verification infrastructure — including a recently discovered conservation law — that the rule can rely on. A short conclusion returns to the stakes.</w:t>
      </w:r>
    </w:p>
    <w:p>
      <w:r>
        <w:pict>
          <v:rect style="width:0;height:1.5pt" o:hralign="center" o:hrstd="t" o:hr="t"/>
        </w:pict>
      </w:r>
    </w:p>
    <w:bookmarkEnd w:id="18"/>
    <w:bookmarkStart w:id="24" w:name="Xdd8b7f83801eb54e45bf7c1d68fe87796dd6a0f"/>
    <w:p>
      <w:pPr>
        <w:pStyle w:val="Heading2"/>
      </w:pPr>
      <w:r>
        <w:t xml:space="preserve">II. The Transformation of Legal Capability: Capability Without Protection</w:t>
      </w:r>
    </w:p>
    <w:p>
      <w:pPr>
        <w:pStyle w:val="FirstParagraph"/>
      </w:pPr>
      <w:r>
        <w:t xml:space="preserve">Work-product doctrine rests on a factual predicate that AI has destroyed. Recognized in</w:t>
      </w:r>
      <w:r>
        <w:t xml:space="preserve"> </w:t>
      </w:r>
      <w:r>
        <w:rPr>
          <w:i/>
          <w:iCs/>
        </w:rPr>
        <w:t xml:space="preserve">Hickman v. Taylor</w:t>
      </w:r>
      <w:r>
        <w:t xml:space="preserve"> </w:t>
      </w:r>
      <w:r>
        <w:t xml:space="preserve">and codified in Federal Rule of Civil Procedure 26(b)(3), the doctrine protects</w:t>
      </w:r>
      <w:r>
        <w:t xml:space="preserve"> </w:t>
      </w:r>
      <w:r>
        <w:t xml:space="preserve">“documents and tangible things that are prepared in anticipation of litigation or for trial by or for another party or its representative.”</w:t>
      </w:r>
      <w:r>
        <w:rPr>
          <w:rStyle w:val="FootnoteReference"/>
        </w:rPr>
        <w:footnoteReference w:id="19"/>
      </w:r>
      <w:r>
        <w:t xml:space="preserve"> </w:t>
      </w:r>
      <w:r>
        <w:t xml:space="preserve">At its core it shelters the mental impressions, strategies, and legal reasoning developed in anticipation of litigation, not merely the documents in which they are expressed. Tying protection to attorney status had a simple justification: only lawyers could generate the kind of legal analysis the doctrine was designed to shelter. Attorney-quality legal work tracked the professional credential, and extending protection to the attorney’s agents — paralegals, investigators, consultants — was a practical extension, not a theoretical challenge, because those agents operated under the attorney’s direction. The system was credential-gated because, at the time, the capability was.</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 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conducted under threat of compelled disclosure is not meaningful preparation. If a person researching their legal rights knows that every query, every analysis, every drafted strategy can be demanded by the opposing side — while the opposing side’s lawyer prepares in the shelter of work-product protection — the playing field is tilted. Not by the quality of the work, but by the asymmetry of protection.</w:t>
      </w:r>
    </w:p>
    <w:p>
      <w:pPr>
        <w:pStyle w:val="BodyText"/>
      </w:pPr>
      <w:r>
        <w:t xml:space="preserve">The</w:t>
      </w:r>
      <w:r>
        <w:t xml:space="preserve"> </w:t>
      </w:r>
      <w:r>
        <w:rPr>
          <w:i/>
          <w:iCs/>
        </w:rPr>
        <w:t xml:space="preserve">Heppner/Warner</w:t>
      </w:r>
      <w:r>
        <w:t xml:space="preserve"> </w:t>
      </w:r>
      <w:r>
        <w:t xml:space="preserve">split makes this asymmetry concrete. A criminal defendant who used AI independently of counsel lost all protection. A pro se civil plaintiff who used the same kind of AI for the same kind of preparation kept hers. What separated them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Represented parties acting outside that relationship are exposed. Self-represented parties may be sheltered. Crime victims — who are not parties, not represented by the prosecutor, and not self-represented litigants — fall outside the framework entirely.</w:t>
      </w:r>
      <w:r>
        <w:rPr>
          <w:rStyle w:val="FootnoteReference"/>
        </w:rPr>
        <w:footnoteReference w:id="23"/>
      </w:r>
    </w:p>
    <w:p>
      <w:pPr>
        <w:pStyle w:val="BodyText"/>
      </w:pPr>
      <w:r>
        <w:t xml:space="preserve">The doctrinal distinction has a functional consequence. The people most likely to rely on AI for legal preparation are the same people least likely to have its results protected: those who cannot afford counsel, or who fall outside the recognized protection categories. AI has expanded what a non-lawyer can do. It has not expanded what a non-lawyer can do in confidence. The capability is distributed; the shelter is not.</w:t>
      </w:r>
    </w:p>
    <w:p>
      <w:r>
        <w:pict>
          <v:rect style="width:0;height:1.5pt" o:hralign="center" o:hrstd="t" o:hr="t"/>
        </w:pict>
      </w:r>
    </w:p>
    <w:bookmarkEnd w:id="24"/>
    <w:bookmarkStart w:id="34" w:name="Xaccd5d89a05d7c776db5d1fae08216cd701c031"/>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work is now delivered. That infrastructure is where protection actually gets allocated.</w:t>
      </w:r>
    </w:p>
    <w:bookmarkStart w:id="31"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26"/>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27"/>
      </w:r>
    </w:p>
    <w:p>
      <w:pPr>
        <w:pStyle w:val="BodyText"/>
      </w:pPr>
      <w:r>
        <w:t xml:space="preserve">Consumer versions of the same underlying models (Claude, ChatGPT, Gemini) 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28"/>
      </w:r>
    </w:p>
    <w:p>
      <w:pPr>
        <w:pStyle w:val="BodyText"/>
      </w:pPr>
      <w:r>
        <w:t xml:space="preserve">Publicly available information suggests that the distinction between enterprise and consumer tools lies primarily in contractual terms, data-handling policies, and integration layers, not in demonstrable differences in the underlying analytical models.</w:t>
      </w:r>
      <w:r>
        <w:rPr>
          <w:rStyle w:val="FootnoteReference"/>
        </w:rPr>
        <w:footnoteReference w:id="2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30"/>
      </w:r>
    </w:p>
    <w:p>
      <w:pPr>
        <w:pStyle w:val="BodyText"/>
      </w:pPr>
      <w:r>
        <w:t xml:space="preserve">In practice, then, and as emerging cases suggest, the line between protected and unprotected AI-assisted legal preparation tracks access tier and user status rather than any demonstrable difference in underlying analytical capability. The distinction is not technological dressed in legal clothing; it is a credentialing product. The signal it sends is:</w:t>
      </w:r>
      <w:r>
        <w:t xml:space="preserve"> </w:t>
      </w:r>
      <w:r>
        <w:rPr>
          <w:i/>
          <w:iCs/>
        </w:rPr>
        <w:t xml:space="preserve">this is attorney work, accessed through attorney channels, therefore the output is protected.</w:t>
      </w:r>
      <w:r>
        <w:t xml:space="preserve"> </w:t>
      </w:r>
      <w:r>
        <w:t xml:space="preserve">The same model, accessed by a non-attorney through the consumer platform, produces output that is not protected — not because the work is different, but because the access tier identifies the user as a non-attorney.</w:t>
      </w:r>
    </w:p>
    <w:bookmarkEnd w:id="31"/>
    <w:bookmarkStart w:id="33"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32"/>
      </w:r>
      <w:r>
        <w:t xml:space="preserve"> </w:t>
      </w:r>
      <w:r>
        <w:t xml:space="preserve">The answer, here, is that they redistribute who gets to think legally in private.</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A system in which the protection of legal preparation is distributed by private contract rather than by public entitlement conditions the exercise of constitutional rights on market access. That is, at its core, a civil rights problem.</w:t>
      </w:r>
    </w:p>
    <w:p>
      <w:r>
        <w:pict>
          <v:rect style="width:0;height:1.5pt" o:hralign="center" o:hrstd="t" o:hr="t"/>
        </w:pict>
      </w:r>
    </w:p>
    <w:bookmarkEnd w:id="33"/>
    <w:bookmarkEnd w:id="34"/>
    <w:bookmarkStart w:id="48" w:name="Xf52b783f4b3c60c4fc64fc6b8bed61fb8817acb"/>
    <w:p>
      <w:pPr>
        <w:pStyle w:val="Heading2"/>
      </w:pPr>
      <w:r>
        <w:t xml:space="preserve">IV. Civil Rights at the Fault Line: Equality, Fairness, and Access</w:t>
      </w:r>
    </w:p>
    <w:p>
      <w:pPr>
        <w:pStyle w:val="FirstParagraph"/>
      </w:pPr>
      <w:r>
        <w:t xml:space="preserve">Not every procedural asymmetry rises to the level of a civil rights concern. The fracture described here does, because the protection at issue (the ability to prepare in confidence) is a precondition to the exercise of rights the Constitution already guarantees. The AI work-product fracture implicates three foundational principles at once — equal treatment, fair procedure, and meaningful access to the courts.</w:t>
      </w:r>
    </w:p>
    <w:bookmarkStart w:id="37" w:name="Xdaedc46333b28e7a570e2d01a96fefaf2a4c6bc"/>
    <w:p>
      <w:pPr>
        <w:pStyle w:val="Heading3"/>
      </w:pPr>
      <w:r>
        <w:t xml:space="preserve">A. Equal Protection and Status-Based Distinction</w:t>
      </w:r>
    </w:p>
    <w:p>
      <w:pPr>
        <w:pStyle w:val="FirstParagraph"/>
      </w:pPr>
      <w:r>
        <w:t xml:space="preserve">Two people prepare for litigation. One is a lawyer working through Harvey; the other is a self-represented litigant working through consumer AI. They produce materially comparable legal analysis. The lawyer’s work is protected. The self-represented litigant’s, under</w:t>
      </w:r>
      <w:r>
        <w:t xml:space="preserve"> </w:t>
      </w:r>
      <w:r>
        <w:rPr>
          <w:i/>
          <w:iCs/>
        </w:rPr>
        <w:t xml:space="preserve">Heppner</w:t>
      </w:r>
      <w:r>
        <w:t xml:space="preserve">’s logic, may not be. What separates them is not the function the work serves or the care with which it was prepared, but the professional status of the person who prepared it and the platform tier through which it was produced.</w:t>
      </w:r>
    </w:p>
    <w:p>
      <w:pPr>
        <w:pStyle w:val="BodyText"/>
      </w:pPr>
      <w:r>
        <w:t xml:space="preserve">This produces a status-based distinction in the protection of legal preparation that implicates equal-protection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w:t>
      </w:r>
      <w:r>
        <w:t xml:space="preserve"> </w:t>
      </w:r>
      <w:r>
        <w:t xml:space="preserve">“would further disadvantage unrepresented litigants”</w:t>
      </w:r>
      <w:r>
        <w:t xml:space="preserve">: the precise distributive consequence that civil rights scrutiny exists to address.</w:t>
      </w:r>
      <w:r>
        <w:rPr>
          <w:rStyle w:val="FootnoteReference"/>
        </w:rPr>
        <w:footnoteReference w:id="35"/>
      </w:r>
      <w:r>
        <w:t xml:space="preserve"> </w:t>
      </w:r>
      <w:r>
        <w:t xml:space="preserve">The historical justification for credential-based asymmetry, that lawyers had unique analytical capacity, collapses when the same AI model generates materially comparable analysis for both. When function detaches from credential, a doctrine that ties protection to credential tracks status, not function. A classification that burdens the population least able to afford the alternative is exactly the kind that civil rights scrutiny exists to examine.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that sense, work-product protection stands to adversarial participation as access to transcripts stood to the right of appeal in</w:t>
      </w:r>
      <w:r>
        <w:t xml:space="preserve"> </w:t>
      </w:r>
      <w:r>
        <w:rPr>
          <w:i/>
          <w:iCs/>
        </w:rPr>
        <w:t xml:space="preserve">Griffin v. Illinois</w:t>
      </w:r>
      <w:r>
        <w:t xml:space="preserve">, as access to counsel stood to the right of defense in</w:t>
      </w:r>
      <w:r>
        <w:t xml:space="preserve"> </w:t>
      </w:r>
      <w:r>
        <w:rPr>
          <w:i/>
          <w:iCs/>
        </w:rPr>
        <w:t xml:space="preserve">Gideon v. Wainwright</w:t>
      </w:r>
      <w:r>
        <w:t xml:space="preserve">, and as the right of self-representation stood to the right to present one’s own case in</w:t>
      </w:r>
      <w:r>
        <w:t xml:space="preserve"> </w:t>
      </w:r>
      <w:r>
        <w:rPr>
          <w:i/>
          <w:iCs/>
        </w:rPr>
        <w:t xml:space="preserve">Faretta v. California</w:t>
      </w:r>
      <w:r>
        <w:t xml:space="preserve">. Each of those doctrines recognizes that a right is hollow without the conditions that make its exercise possible. The ability to prepare — to think legally in private — is one of those conditions, not an adjunct to them.</w:t>
      </w:r>
      <w:r>
        <w:t xml:space="preserve"> </w:t>
      </w:r>
      <w:r>
        <w:rPr>
          <w:i/>
          <w:iCs/>
        </w:rPr>
        <w:t xml:space="preserve">Griffin</w:t>
      </w:r>
      <w:r>
        <w:t xml:space="preserve">’s principle, that</w:t>
      </w:r>
      <w:r>
        <w:t xml:space="preserve"> </w:t>
      </w:r>
      <w:r>
        <w:t xml:space="preserve">“there can be no equal justice where the kind of trial a man gets depends on the amount of money he has,”</w:t>
      </w:r>
      <w:r>
        <w:t xml:space="preserve"> </w:t>
      </w:r>
      <w:r>
        <w:t xml:space="preserve">applies directly when what determines access is subscription tier rather than financial means per se. The inequality is the same; only the mechanism has changed.</w:t>
      </w:r>
      <w:r>
        <w:rPr>
          <w:rStyle w:val="FootnoteReference"/>
        </w:rPr>
        <w:footnoteReference w:id="36"/>
      </w:r>
    </w:p>
    <w:bookmarkEnd w:id="37"/>
    <w:bookmarkStart w:id="40" w:name="X879e3081ffccda9f206f7ee19703ba84796e5ba"/>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 (knowing their research, analysis, and strategy cannot be compelled) 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38"/>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39"/>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40"/>
    <w:bookmarkStart w:id="47" w:name="Xe03a687d6080bb742b88deb2af1590e4dd5656d"/>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41"/>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42"/>
      </w:r>
      <w:r>
        <w:t xml:space="preserve"> </w:t>
      </w:r>
      <w:r>
        <w:t xml:space="preserve">and the due process right to a fair proceeding</w:t>
      </w:r>
      <w:r>
        <w:rPr>
          <w:rStyle w:val="FootnoteReference"/>
        </w:rPr>
        <w:footnoteReference w:id="43"/>
      </w:r>
      <w:r>
        <w:t xml:space="preserve"> </w:t>
      </w:r>
      <w:r>
        <w:t xml:space="preserve">each rest on prior, private preparation.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44"/>
      </w:r>
      <w:r>
        <w:t xml:space="preserve"> </w:t>
      </w:r>
      <w:r>
        <w:t xml:space="preserve">pro se civil litigants in housing, employment, and benefits cases; administrative claimants navigating immigration, Social Security disability, and licensing proceedings; and crime victims, whose preparation falls in a gap the existing categories never anticipated.</w:t>
      </w:r>
      <w:r>
        <w:rPr>
          <w:rStyle w:val="FootnoteReference"/>
        </w:rPr>
        <w:footnoteReference w:id="45"/>
      </w:r>
      <w:r>
        <w:t xml:space="preserve"> </w:t>
      </w:r>
      <w:r>
        <w:t xml:space="preserve">That gap is structural rather than accidental: victims are not parties, the prosecutor represents the state rather than them, and the Sixth Amendment right to counsel does not attach, so no doctrinal home exists for the work they do to engage with the proceeding. For each of these populations,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 (discriminatory hiring tools, automated benefits denials, proxy discrimination in lending) by identifying the ways technically neutral rules produce systematically unequal outcomes.</w:t>
      </w:r>
      <w:r>
        <w:rPr>
          <w:rStyle w:val="FootnoteReference"/>
        </w:rPr>
        <w:footnoteReference w:id="46"/>
      </w:r>
      <w:r>
        <w:t xml:space="preserve"> </w:t>
      </w:r>
      <w:r>
        <w:t xml:space="preserve">The AI work-product fracture is the same species of problem.</w:t>
      </w:r>
    </w:p>
    <w:p>
      <w:r>
        <w:pict>
          <v:rect style="width:0;height:1.5pt" o:hralign="center" o:hrstd="t" o:hr="t"/>
        </w:pict>
      </w:r>
    </w:p>
    <w:bookmarkEnd w:id="47"/>
    <w:bookmarkEnd w:id="48"/>
    <w:bookmarkStart w:id="56" w:name="Xfe3bffd84f0cd3a93cf2eaaf1c1b8119e475408"/>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the preparation done in anticipation of litigation or legal proceedings, not to the professional identity of the preparer or the technological channel through which the work is produced. AI-assisted material keeps that protection unless the proponent shows actual adversarially relevant exposure beyond ordinary computational processing.</w:t>
      </w:r>
      <w:r>
        <w:rPr>
          <w:rStyle w:val="FootnoteReference"/>
        </w:rPr>
        <w:footnoteReference w:id="49"/>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50"/>
      </w:r>
    </w:p>
    <w:p>
      <w:pPr>
        <w:pStyle w:val="BodyText"/>
      </w:pPr>
      <w:r>
        <w:t xml:space="preserve">The doctrine that work-product protection incentivizes the attorney-client relationship serves important values: 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51"/>
      </w:r>
      <w:r>
        <w:t xml:space="preserve"> </w:t>
      </w:r>
      <w:r>
        <w:t xml:space="preserve">That objection is misplaced. The functional rule does not shelter AI output as algorithmic product; it shelters the human preparation activity — the prompts, the directional choices, the integration of output into a litigation strategy — that embeds the preparer’s mental impressions as surely as a paralegal’s research memorandum does. A copyright analogy under</w:t>
      </w:r>
      <w:r>
        <w:t xml:space="preserve"> </w:t>
      </w:r>
      <w:r>
        <w:rPr>
          <w:i/>
          <w:iCs/>
        </w:rPr>
        <w:t xml:space="preserve">Thaler v. Perlmutter</w:t>
      </w:r>
      <w:r>
        <w:t xml:space="preserve"> </w:t>
      </w:r>
      <w:r>
        <w:t xml:space="preserve">falls on the same line. Copyright requires a human author whose creative expression resides in the work;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52"/>
      </w:r>
      <w:r>
        <w:t xml:space="preserve"> </w:t>
      </w:r>
      <w:r>
        <w:t xml:space="preserve">The legally relevant events are onward sharing, human review by platform staff, government subpoena of stored data, or actual adversarial access; the computational inference itself is not such an event.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w:t>
      </w:r>
      <w:r>
        <w:t xml:space="preserve"> </w:t>
      </w:r>
      <w:r>
        <w:t xml:space="preserve">“by or for another party or its representative”</w:t>
      </w:r>
      <w:r>
        <w:t xml:space="preserve"> </w:t>
      </w:r>
      <w:r>
        <w:t xml:space="preserve">without credential-limiting language.</w:t>
      </w:r>
      <w:r>
        <w:rPr>
          <w:rStyle w:val="FootnoteReference"/>
        </w:rPr>
        <w:footnoteReference w:id="53"/>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 regardless of whether they are represented, self-represented, or preparing to participate as a crime victim in a criminal proceeding, 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 For example, targeted amendments to the Crime Victims’ Rights Act</w:t>
      </w:r>
      <w:r>
        <w:rPr>
          <w:rStyle w:val="FootnoteReference"/>
        </w:rPr>
        <w:footnoteReference w:id="54"/>
      </w:r>
      <w:r>
        <w:t xml:space="preserve"> </w:t>
      </w:r>
      <w:r>
        <w:t xml:space="preserve">or model provisions for state victims’ rights campaigns can ensure that crime victims’ AI-assisted preparation materials are not discoverable by the very defendants whose conduct they are documenting.</w:t>
      </w:r>
      <w:r>
        <w:rPr>
          <w:rStyle w:val="FootnoteReference"/>
        </w:rPr>
        <w:footnoteReference w:id="55"/>
      </w:r>
    </w:p>
    <w:p>
      <w:pPr>
        <w:pStyle w:val="BodyText"/>
      </w:pPr>
      <w:r>
        <w:t xml:space="preserve">Each path is a civil rights intervention. Each recognizes that the ability to prepare in confidence is not a professional courtesy but a prerequisite to the equal exercise of legal rights.</w:t>
      </w:r>
    </w:p>
    <w:p>
      <w:r>
        <w:pict>
          <v:rect style="width:0;height:1.5pt" o:hralign="center" o:hrstd="t" o:hr="t"/>
        </w:pict>
      </w:r>
    </w:p>
    <w:bookmarkEnd w:id="56"/>
    <w:bookmarkStart w:id="60" w:name="Xf1b313167579a54c427c7a17f79a8ecbce48e38"/>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 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57"/>
      </w:r>
      <w:r>
        <w:t xml:space="preserve"> </w:t>
      </w:r>
      <w:r>
        <w:t xml:space="preserve">The Conservation Law of Commitment establishes that under governed conditions, the commitment kernel of a signal (its obligations, prohibitions, permissions, and constraints) 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 (defining the kernel as</w:t>
      </w:r>
      <w:r>
        <w:t xml:space="preserve"> </w:t>
      </w:r>
      <w:r>
        <w:t xml:space="preserve">“sheltered preparation in anticipation of proceedings”</w:t>
      </w:r>
      <w:r>
        <w:t xml:space="preserve"> </w:t>
      </w:r>
      <w:r>
        <w:t xml:space="preserve">and implementing governed transformation protocols) would make the functional rule’s protection demonstrable, not merely doctrinal. A person preparing for litigation could demonstrate not only that they intended their work to be confidential but that the confidentiality was structurally preserved through cryptographic lineage, fidelity verification gates, and recursion testing.</w:t>
      </w:r>
      <w:r>
        <w:rPr>
          <w:rStyle w:val="FootnoteReference"/>
        </w:rPr>
        <w:footnoteReference w:id="58"/>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59"/>
      </w:r>
      <w:r>
        <w:t xml:space="preserve"> </w:t>
      </w:r>
      <w:r>
        <w:t xml:space="preserve">The architecture does not require opening proprietary models or revealing trade secrets; it certifies the result, not the internals. What it makes possible is the question</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but neither could quite ask: did the protection survive the pipeline?</w:t>
      </w:r>
    </w:p>
    <w:p>
      <w:pPr>
        <w:pStyle w:val="BodyText"/>
      </w:pPr>
      <w:r>
        <w:t xml:space="preserve">Nothing in the proposed rule asks courts to adopt any particular technical architecture. The point is narrower: verifiable preservation of confidentiality and legal meaning is becoming possible, and the functional rule is designed to take advantage of that possibility as it matures.</w:t>
      </w:r>
    </w:p>
    <w:p>
      <w:r>
        <w:pict>
          <v:rect style="width:0;height:1.5pt" o:hralign="center" o:hrstd="t" o:hr="t"/>
        </w:pict>
      </w:r>
    </w:p>
    <w:bookmarkEnd w:id="60"/>
    <w:bookmarkStart w:id="61" w:name="X575fe6025807b08129365cb9acbb9da9c050f9f"/>
    <w:p>
      <w:pPr>
        <w:pStyle w:val="Heading2"/>
      </w:pPr>
      <w:r>
        <w:t xml:space="preserve">VII. Conclusion: Whose Legal Thought Stays Protected?</w:t>
      </w:r>
    </w:p>
    <w:p>
      <w:pPr>
        <w:pStyle w:val="FirstParagraph"/>
      </w:pPr>
      <w:r>
        <w:t xml:space="preserve">Civil rights doctrine has always concerned itself with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its factual predicate — that legal analytical capability tracks professional credential — 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sits at an inflection point: courts are narrowing antidiscrimination doctrine, rethinking protected classes, and grappling with technologically mediated harm in every domain. The work-product fracture belongs in that conversation. As AI becomes the primary tool through which unrepresented individuals reach the legal system, civil rights law must answer a new question — not only who is protected, but whose legal thought is allowed to remain protected at all.</w:t>
      </w:r>
    </w:p>
    <w:p>
      <w:r>
        <w:pict>
          <v:rect style="width:0;height:1.5pt" o:hralign="center" o:hrstd="t" o:hr="t"/>
        </w:pict>
      </w:r>
    </w:p>
    <w:bookmarkEnd w:id="61"/>
    <w:bookmarkStart w:id="62"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62"/>
    <w:bookmarkStart w:id="67" w:name="pre-submission-verification-checklist"/>
    <w:p>
      <w:pPr>
        <w:pStyle w:val="Heading2"/>
      </w:pPr>
      <w:r>
        <w:t xml:space="preserve">Pre-Submission Verification Checklist</w:t>
      </w:r>
    </w:p>
    <w:bookmarkStart w:id="63" w:name="X610ea14e7ab1f6013230da1d738c3bcd8410107"/>
    <w:p>
      <w:pPr>
        <w:pStyle w:val="Heading3"/>
      </w:pPr>
      <w:r>
        <w:t xml:space="preserve">Citation Corrections Applied in This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Old (Incorrect)</w:t>
            </w:r>
          </w:p>
        </w:tc>
        <w:tc>
          <w:tcPr/>
          <w:p>
            <w:pPr>
              <w:pStyle w:val="Compact"/>
            </w:pPr>
            <w:r>
              <w:t xml:space="preserve">New (Verified)</w:t>
            </w:r>
          </w:p>
        </w:tc>
        <w:tc>
          <w:tcPr/>
          <w:p>
            <w:pPr>
              <w:pStyle w:val="Compact"/>
            </w:pPr>
            <w:r>
              <w:t xml:space="preserve">Source</w:t>
            </w:r>
          </w:p>
        </w:tc>
      </w:tr>
      <w:tr>
        <w:tc>
          <w:tcPr/>
          <w:p>
            <w:pPr>
              <w:pStyle w:val="Compact"/>
            </w:pPr>
            <w:r>
              <w:t xml:space="preserve">Heppner docket</w:t>
            </w:r>
          </w:p>
        </w:tc>
        <w:tc>
          <w:tcPr/>
          <w:p>
            <w:pPr>
              <w:pStyle w:val="Compact"/>
            </w:pPr>
            <w:r>
              <w:t xml:space="preserve">No. 25-CR-397 (JSR)</w:t>
            </w:r>
          </w:p>
        </w:tc>
        <w:tc>
          <w:tcPr/>
          <w:p>
            <w:pPr>
              <w:pStyle w:val="Compact"/>
            </w:pPr>
            <w:r>
              <w:t xml:space="preserve">No. 25-cr-00503-JSR</w:t>
            </w:r>
          </w:p>
        </w:tc>
        <w:tc>
          <w:tcPr/>
          <w:p>
            <w:pPr>
              <w:pStyle w:val="Compact"/>
            </w:pPr>
            <w:r>
              <w:t xml:space="preserve">Multiple firm alerts, PACER</w:t>
            </w:r>
          </w:p>
        </w:tc>
      </w:tr>
      <w:tr>
        <w:tc>
          <w:tcPr/>
          <w:p>
            <w:pPr>
              <w:pStyle w:val="Compact"/>
            </w:pPr>
            <w:r>
              <w:t xml:space="preserve">Heppner WL</w:t>
            </w:r>
          </w:p>
        </w:tc>
        <w:tc>
          <w:tcPr/>
          <w:p>
            <w:pPr>
              <w:pStyle w:val="Compact"/>
            </w:pPr>
            <w:r>
              <w:t xml:space="preserve">2026 WL 566081</w:t>
            </w:r>
          </w:p>
        </w:tc>
        <w:tc>
          <w:tcPr/>
          <w:p>
            <w:pPr>
              <w:pStyle w:val="Compact"/>
            </w:pPr>
            <w:r>
              <w:t xml:space="preserve">2026 WL 436479</w:t>
            </w:r>
          </w:p>
        </w:tc>
        <w:tc>
          <w:tcPr/>
          <w:p>
            <w:pPr>
              <w:pStyle w:val="Compact"/>
            </w:pPr>
            <w:r>
              <w:t xml:space="preserve">Haynes Boone, RPJ Law</w:t>
            </w:r>
          </w:p>
        </w:tc>
      </w:tr>
      <w:tr>
        <w:tc>
          <w:tcPr/>
          <w:p>
            <w:pPr>
              <w:pStyle w:val="Compact"/>
            </w:pPr>
            <w:r>
              <w:t xml:space="preserve">Warner docket</w:t>
            </w:r>
          </w:p>
        </w:tc>
        <w:tc>
          <w:tcPr/>
          <w:p>
            <w:pPr>
              <w:pStyle w:val="Compact"/>
            </w:pPr>
            <w:r>
              <w:t xml:space="preserve">No. 23-12531</w:t>
            </w:r>
          </w:p>
        </w:tc>
        <w:tc>
          <w:tcPr/>
          <w:p>
            <w:pPr>
              <w:pStyle w:val="Compact"/>
            </w:pPr>
            <w:r>
              <w:t xml:space="preserve">No. 2:24-cv-12333</w:t>
            </w:r>
          </w:p>
        </w:tc>
        <w:tc>
          <w:tcPr/>
          <w:p>
            <w:pPr>
              <w:pStyle w:val="Compact"/>
            </w:pPr>
            <w:r>
              <w:t xml:space="preserve">Proskauer, Justia, Cleary</w:t>
            </w:r>
          </w:p>
        </w:tc>
      </w:tr>
      <w:tr>
        <w:tc>
          <w:tcPr/>
          <w:p>
            <w:pPr>
              <w:pStyle w:val="Compact"/>
            </w:pPr>
            <w:r>
              <w:t xml:space="preserve">Warner WL</w:t>
            </w:r>
          </w:p>
        </w:tc>
        <w:tc>
          <w:tcPr/>
          <w:p>
            <w:pPr>
              <w:pStyle w:val="Compact"/>
            </w:pPr>
            <w:r>
              <w:t xml:space="preserve">2026 WL 460146</w:t>
            </w:r>
          </w:p>
        </w:tc>
        <w:tc>
          <w:tcPr/>
          <w:p>
            <w:pPr>
              <w:pStyle w:val="Compact"/>
            </w:pPr>
            <w:r>
              <w:t xml:space="preserve">2026 WL 373043</w:t>
            </w:r>
          </w:p>
        </w:tc>
        <w:tc>
          <w:tcPr/>
          <w:p>
            <w:pPr>
              <w:pStyle w:val="Compact"/>
            </w:pPr>
            <w:r>
              <w:t xml:space="preserve">Multiple firm alerts</w:t>
            </w:r>
          </w:p>
        </w:tc>
      </w:tr>
      <w:tr>
        <w:tc>
          <w:tcPr/>
          <w:p>
            <w:pPr>
              <w:pStyle w:val="Compact"/>
            </w:pPr>
            <w:r>
              <w:t xml:space="preserve">Morgan docket</w:t>
            </w:r>
          </w:p>
        </w:tc>
        <w:tc>
          <w:tcPr/>
          <w:p>
            <w:pPr>
              <w:pStyle w:val="Compact"/>
            </w:pPr>
            <w:r>
              <w:t xml:space="preserve">No. 24-CV-03199</w:t>
            </w:r>
          </w:p>
        </w:tc>
        <w:tc>
          <w:tcPr/>
          <w:p>
            <w:pPr>
              <w:pStyle w:val="Compact"/>
            </w:pPr>
            <w:r>
              <w:t xml:space="preserve">No. 25-cv-01991-SKC-MDB</w:t>
            </w:r>
          </w:p>
        </w:tc>
        <w:tc>
          <w:tcPr/>
          <w:p>
            <w:pPr>
              <w:pStyle w:val="Compact"/>
            </w:pPr>
            <w:r>
              <w:t xml:space="preserve">Osherow Law Advisor, Lexology, ACEDS, Sidley</w:t>
            </w:r>
          </w:p>
        </w:tc>
      </w:tr>
      <w:tr>
        <w:tc>
          <w:tcPr/>
          <w:p>
            <w:pPr>
              <w:pStyle w:val="Compact"/>
            </w:pPr>
            <w:r>
              <w:t xml:space="preserve">Morgan WL</w:t>
            </w:r>
          </w:p>
        </w:tc>
        <w:tc>
          <w:tcPr/>
          <w:p>
            <w:pPr>
              <w:pStyle w:val="Compact"/>
            </w:pPr>
            <w:r>
              <w:t xml:space="preserve">2026 WL 1069587</w:t>
            </w:r>
          </w:p>
        </w:tc>
        <w:tc>
          <w:tcPr/>
          <w:p>
            <w:pPr>
              <w:pStyle w:val="Compact"/>
            </w:pPr>
            <w:r>
              <w:t xml:space="preserve">2026 WL 864223</w:t>
            </w:r>
          </w:p>
        </w:tc>
        <w:tc>
          <w:tcPr/>
          <w:p>
            <w:pPr>
              <w:pStyle w:val="Compact"/>
            </w:pPr>
            <w:r>
              <w:t xml:space="preserve">Osherow Law Advisor, Lexology</w:t>
            </w:r>
          </w:p>
        </w:tc>
      </w:tr>
      <w:tr>
        <w:tc>
          <w:tcPr/>
          <w:p>
            <w:pPr>
              <w:pStyle w:val="Compact"/>
            </w:pPr>
            <w:r>
              <w:t xml:space="preserve">Shih cite</w:t>
            </w:r>
          </w:p>
        </w:tc>
        <w:tc>
          <w:tcPr/>
          <w:p>
            <w:pPr>
              <w:pStyle w:val="Compact"/>
            </w:pPr>
            <w:r>
              <w:t xml:space="preserve">2021 WL 1966870 (JPC)</w:t>
            </w:r>
          </w:p>
        </w:tc>
        <w:tc>
          <w:tcPr/>
          <w:p>
            <w:pPr>
              <w:pStyle w:val="Compact"/>
            </w:pPr>
            <w:r>
              <w:t xml:space="preserve">565 F. Supp. 3d 557 (S.D.N.Y. 2021)</w:t>
            </w:r>
          </w:p>
        </w:tc>
        <w:tc>
          <w:tcPr/>
          <w:p>
            <w:pPr>
              <w:pStyle w:val="Compact"/>
            </w:pPr>
            <w:r>
              <w:t xml:space="preserve">Casetext, Heppner opinion (citing Shih)</w:t>
            </w:r>
          </w:p>
        </w:tc>
      </w:tr>
      <w:tr>
        <w:tc>
          <w:tcPr/>
          <w:p>
            <w:pPr>
              <w:pStyle w:val="Compact"/>
            </w:pPr>
            <w:r>
              <w:t xml:space="preserve">Fn 13 (Harvey/Claude)</w:t>
            </w:r>
          </w:p>
        </w:tc>
        <w:tc>
          <w:tcPr/>
          <w:p>
            <w:pPr>
              <w:pStyle w:val="Compact"/>
            </w:pPr>
            <w:r>
              <w:t xml:space="preserve">Proskauer alert only</w:t>
            </w:r>
          </w:p>
        </w:tc>
        <w:tc>
          <w:tcPr/>
          <w:p>
            <w:pPr>
              <w:pStyle w:val="Compact"/>
            </w:pPr>
            <w:r>
              <w:t xml:space="preserve">Proskauer + Harvey blog (Opus 4.6) + Anthropic customer story</w:t>
            </w:r>
          </w:p>
        </w:tc>
        <w:tc>
          <w:tcPr/>
          <w:p>
            <w:pPr>
              <w:pStyle w:val="Compact"/>
            </w:pPr>
            <w:r>
              <w:t xml:space="preserve">Direct sourcing</w:t>
            </w:r>
          </w:p>
        </w:tc>
      </w:tr>
      <w:tr>
        <w:tc>
          <w:tcPr/>
          <w:p>
            <w:pPr>
              <w:pStyle w:val="Compact"/>
            </w:pPr>
            <w:r>
              <w:t xml:space="preserve">Fn 14 (CoCounsel)</w:t>
            </w:r>
          </w:p>
        </w:tc>
        <w:tc>
          <w:tcPr/>
          <w:p>
            <w:pPr>
              <w:pStyle w:val="Compact"/>
            </w:pPr>
            <w:r>
              <w:t xml:space="preserve">Thomson Reuters product page</w:t>
            </w:r>
          </w:p>
        </w:tc>
        <w:tc>
          <w:tcPr/>
          <w:p>
            <w:pPr>
              <w:pStyle w:val="Compact"/>
            </w:pPr>
            <w:r>
              <w:t xml:space="preserve">Thomson Reuters press release Apr. 9, 2025 (AOUSC contract)</w:t>
            </w:r>
          </w:p>
        </w:tc>
        <w:tc>
          <w:tcPr/>
          <w:p>
            <w:pPr>
              <w:pStyle w:val="Compact"/>
            </w:pPr>
            <w:r>
              <w:t xml:space="preserve">Direct primary source</w:t>
            </w:r>
          </w:p>
        </w:tc>
      </w:tr>
      <w:tr>
        <w:tc>
          <w:tcPr/>
          <w:p>
            <w:pPr>
              <w:pStyle w:val="Compact"/>
            </w:pPr>
            <w:r>
              <w:t xml:space="preserve">Fn 17 (Legaltech Hub)</w:t>
            </w:r>
          </w:p>
        </w:tc>
        <w:tc>
          <w:tcPr/>
          <w:p>
            <w:pPr>
              <w:pStyle w:val="Compact"/>
            </w:pPr>
            <w:r>
              <w:t xml:space="preserve">Vague reference</w:t>
            </w:r>
          </w:p>
        </w:tc>
        <w:tc>
          <w:tcPr/>
          <w:p>
            <w:pPr>
              <w:pStyle w:val="Compact"/>
            </w:pPr>
            <w:r>
              <w:t xml:space="preserve">Legaltech Hub Generative AI Toolkit + UC Davis libguide confirming</w:t>
            </w:r>
            <w:r>
              <w:t xml:space="preserve"> </w:t>
            </w:r>
            <w:r>
              <w:t xml:space="preserve">“1,014 product placements”</w:t>
            </w:r>
          </w:p>
        </w:tc>
        <w:tc>
          <w:tcPr/>
          <w:p>
            <w:pPr>
              <w:pStyle w:val="Compact"/>
            </w:pPr>
            <w:r>
              <w:t xml:space="preserve">Direct + secondary confirmation</w:t>
            </w:r>
          </w:p>
        </w:tc>
      </w:tr>
      <w:tr>
        <w:tc>
          <w:tcPr/>
          <w:p>
            <w:pPr>
              <w:pStyle w:val="Compact"/>
            </w:pPr>
            <w:r>
              <w:t xml:space="preserve">Body para 14 (Harvey claim)</w:t>
            </w:r>
          </w:p>
        </w:tc>
        <w:tc>
          <w:tcPr/>
          <w:p>
            <w:pPr>
              <w:pStyle w:val="Compact"/>
            </w:pPr>
            <w:r>
              <w:t xml:space="preserve">“is built on Anthropic’s Claude”</w:t>
            </w:r>
          </w:p>
        </w:tc>
        <w:tc>
          <w:tcPr/>
          <w:p>
            <w:pPr>
              <w:pStyle w:val="Compact"/>
            </w:pPr>
            <w:r>
              <w:t xml:space="preserve">“integrates Anthropic’s Claude alongside OpenAI’s GPT models”</w:t>
            </w:r>
          </w:p>
        </w:tc>
        <w:tc>
          <w:tcPr/>
          <w:p>
            <w:pPr>
              <w:pStyle w:val="Compact"/>
            </w:pPr>
            <w:r>
              <w:t xml:space="preserve">Factual correction</w:t>
            </w:r>
          </w:p>
        </w:tc>
      </w:tr>
      <w:tr>
        <w:tc>
          <w:tcPr/>
          <w:p>
            <w:pPr>
              <w:pStyle w:val="Compact"/>
            </w:pPr>
            <w:r>
              <w:t xml:space="preserve">“same model weights”</w:t>
            </w:r>
            <w:r>
              <w:t xml:space="preserve"> </w:t>
            </w:r>
            <w:r>
              <w:t xml:space="preserve">claim</w:t>
            </w:r>
          </w:p>
        </w:tc>
        <w:tc>
          <w:tcPr/>
          <w:p>
            <w:pPr>
              <w:pStyle w:val="Compact"/>
            </w:pPr>
            <w:r>
              <w:t xml:space="preserve">Stated as fact</w:t>
            </w:r>
          </w:p>
        </w:tc>
        <w:tc>
          <w:tcPr/>
          <w:p>
            <w:pPr>
              <w:pStyle w:val="Compact"/>
            </w:pPr>
            <w:r>
              <w:t xml:space="preserve">Reframed as publicly available materials do not establish architectural segregation</w:t>
            </w:r>
          </w:p>
        </w:tc>
        <w:tc>
          <w:tcPr/>
          <w:p>
            <w:pPr>
              <w:pStyle w:val="Compact"/>
            </w:pPr>
            <w:r>
              <w:t xml:space="preserve">Editorial correction</w:t>
            </w:r>
          </w:p>
        </w:tc>
      </w:tr>
      <w:tr>
        <w:tc>
          <w:tcPr/>
          <w:p>
            <w:pPr>
              <w:pStyle w:val="Compact"/>
            </w:pPr>
            <w:r>
              <w:t xml:space="preserve">“absolute work-product protection”</w:t>
            </w:r>
          </w:p>
        </w:tc>
        <w:tc>
          <w:tcPr/>
          <w:p>
            <w:pPr>
              <w:pStyle w:val="Compact"/>
            </w:pPr>
            <w:r>
              <w:t xml:space="preserve">Stated</w:t>
            </w:r>
          </w:p>
        </w:tc>
        <w:tc>
          <w:tcPr/>
          <w:p>
            <w:pPr>
              <w:pStyle w:val="Compact"/>
            </w:pPr>
            <w:r>
              <w:t xml:space="preserve">Changed to</w:t>
            </w:r>
            <w:r>
              <w:t xml:space="preserve"> </w:t>
            </w:r>
            <w:r>
              <w:t xml:space="preserve">“the shelter of work-product protection”</w:t>
            </w:r>
          </w:p>
        </w:tc>
        <w:tc>
          <w:tcPr/>
          <w:p>
            <w:pPr>
              <w:pStyle w:val="Compact"/>
            </w:pPr>
            <w:r>
              <w:t xml:space="preserve">Editorial correction</w:t>
            </w:r>
          </w:p>
        </w:tc>
      </w:tr>
      <w:tr>
        <w:tc>
          <w:tcPr/>
          <w:p>
            <w:pPr>
              <w:pStyle w:val="Compact"/>
            </w:pPr>
            <w:r>
              <w:t xml:space="preserve">“equivalent analysis”</w:t>
            </w:r>
          </w:p>
        </w:tc>
        <w:tc>
          <w:tcPr/>
          <w:p>
            <w:pPr>
              <w:pStyle w:val="Compact"/>
            </w:pPr>
            <w:r>
              <w:t xml:space="preserve">Stated</w:t>
            </w:r>
          </w:p>
        </w:tc>
        <w:tc>
          <w:tcPr/>
          <w:p>
            <w:pPr>
              <w:pStyle w:val="Compact"/>
            </w:pPr>
            <w:r>
              <w:t xml:space="preserve">Changed to</w:t>
            </w:r>
            <w:r>
              <w:t xml:space="preserve"> </w:t>
            </w:r>
            <w:r>
              <w:t xml:space="preserve">“materially comparable”</w:t>
            </w:r>
          </w:p>
        </w:tc>
        <w:tc>
          <w:tcPr/>
          <w:p>
            <w:pPr>
              <w:pStyle w:val="Compact"/>
            </w:pPr>
            <w:r>
              <w:t xml:space="preserve">Editorial correction</w:t>
            </w:r>
          </w:p>
        </w:tc>
      </w:tr>
      <w:tr>
        <w:tc>
          <w:tcPr/>
          <w:p>
            <w:pPr>
              <w:pStyle w:val="Compact"/>
            </w:pPr>
            <w:r>
              <w:t xml:space="preserve">Fn 18</w:t>
            </w:r>
          </w:p>
        </w:tc>
        <w:tc>
          <w:tcPr/>
          <w:p>
            <w:pPr>
              <w:pStyle w:val="Compact"/>
            </w:pPr>
            <w:r>
              <w:t xml:space="preserve">“author’s review did not identify”</w:t>
            </w:r>
          </w:p>
        </w:tc>
        <w:tc>
          <w:tcPr/>
          <w:p>
            <w:pPr>
              <w:pStyle w:val="Compact"/>
            </w:pPr>
            <w:r>
              <w:t xml:space="preserve">“publicly available terms of service reviewed as of April 2026 do not identify”</w:t>
            </w:r>
          </w:p>
        </w:tc>
        <w:tc>
          <w:tcPr/>
          <w:p>
            <w:pPr>
              <w:pStyle w:val="Compact"/>
            </w:pPr>
            <w:r>
              <w:t xml:space="preserve">Editorial correction</w:t>
            </w:r>
          </w:p>
        </w:tc>
      </w:tr>
    </w:tbl>
    <w:bookmarkEnd w:id="63"/>
    <w:bookmarkStart w:id="64" w:name="Xc9b8427f7534ecc92b62ffe7cd01e2a6282e16f"/>
    <w:p>
      <w:pPr>
        <w:pStyle w:val="Heading3"/>
      </w:pPr>
      <w:r>
        <w:t xml:space="preserve">Still Requires Verification Before Submission</w:t>
      </w:r>
    </w:p>
    <w:p>
      <w:pPr>
        <w:pStyle w:val="Compact"/>
        <w:numPr>
          <w:ilvl w:val="0"/>
          <w:numId w:val="1001"/>
        </w:numPr>
      </w:pPr>
      <w:r>
        <w:rPr>
          <w:b/>
          <w:bCs/>
        </w:rPr>
        <w:t xml:space="preserve">Heppner fn 3</w:t>
      </w:r>
      <w:r>
        <w:t xml:space="preserve"> </w:t>
      </w:r>
      <w:r>
        <w:t xml:space="preserve">, Westlaw verified. Original cite was wrong (Heppner does NOT quote Upjohn). Corrected to:</w:t>
      </w:r>
      <w:r>
        <w:t xml:space="preserve"> </w:t>
      </w:r>
      <w:r>
        <w:rPr>
          <w:i/>
          <w:iCs/>
        </w:rPr>
        <w:t xml:space="preserve">Id.</w:t>
      </w:r>
      <w:r>
        <w:t xml:space="preserve"> </w:t>
      </w:r>
      <w:r>
        <w:t xml:space="preserve">at *3 (quoting United States v. Nobles, 422 U.S. 225, 238 (1975)). Body quote also corrected to match Rakoff’s actual language.</w:t>
      </w:r>
    </w:p>
    <w:p>
      <w:pPr>
        <w:pStyle w:val="Compact"/>
        <w:numPr>
          <w:ilvl w:val="0"/>
          <w:numId w:val="1002"/>
        </w:numPr>
      </w:pPr>
      <w:r>
        <w:rPr>
          <w:b/>
          <w:bCs/>
        </w:rPr>
        <w:t xml:space="preserve">Shih pin cite</w:t>
      </w:r>
      <w:r>
        <w:t xml:space="preserve"> </w:t>
      </w:r>
      <w:r>
        <w:t xml:space="preserve">, Westlaw verified via Heppner’s own pin cite to Shih at 574. Updated fns 31 and 33 to</w:t>
      </w:r>
      <w:r>
        <w:t xml:space="preserve"> </w:t>
      </w:r>
      <w:r>
        <w:rPr>
          <w:rStyle w:val="VerbatimChar"/>
        </w:rPr>
        <w:t xml:space="preserve">565 F. Supp. 3d at 574</w:t>
      </w:r>
      <w:r>
        <w:t xml:space="preserve">.</w:t>
      </w:r>
    </w:p>
    <w:p>
      <w:pPr>
        <w:pStyle w:val="Compact"/>
        <w:numPr>
          <w:ilvl w:val="0"/>
          <w:numId w:val="1003"/>
        </w:numPr>
      </w:pPr>
      <w:r>
        <w:rPr>
          <w:b/>
          <w:bCs/>
        </w:rPr>
        <w:t xml:space="preserve">Carpenter</w:t>
      </w:r>
      <w:r>
        <w:t xml:space="preserve"> </w:t>
      </w:r>
      <w:r>
        <w:t xml:space="preserve">, Reframed: original</w:t>
      </w:r>
      <w:r>
        <w:t xml:space="preserve"> </w:t>
      </w:r>
      <w:r>
        <w:t xml:space="preserve">“content vs. routing”</w:t>
      </w:r>
      <w:r>
        <w:t xml:space="preserve"> </w:t>
      </w:r>
      <w:r>
        <w:t xml:space="preserve">parenthetical did not match Carpenter’s actual holding (which is about CSLI/location data and the voluntary exposure rationale). Updated to:</w:t>
      </w:r>
      <w:r>
        <w:t xml:space="preserve"> </w:t>
      </w:r>
      <w:r>
        <w:t xml:space="preserve">“(by analogy, holding that the automatic generation of records by a third-party service does not constitute the kind of voluntary disclosure that defeats reasonable expectations of privacy).”</w:t>
      </w:r>
      <w:r>
        <w:t xml:space="preserve"> </w:t>
      </w:r>
      <w:r>
        <w:t xml:space="preserve">Pin dropped , case-level cite suffices for an analogical</w:t>
      </w:r>
      <w:r>
        <w:t xml:space="preserve"> </w:t>
      </w:r>
      <w:r>
        <w:rPr>
          <w:i/>
          <w:iCs/>
        </w:rPr>
        <w:t xml:space="preserve">Cf.</w:t>
      </w:r>
    </w:p>
    <w:p>
      <w:pPr>
        <w:pStyle w:val="Compact"/>
        <w:numPr>
          <w:ilvl w:val="0"/>
          <w:numId w:val="1004"/>
        </w:numPr>
      </w:pPr>
      <w:r>
        <w:rPr>
          <w:b/>
          <w:bCs/>
        </w:rPr>
        <w:t xml:space="preserve">Nichol</w:t>
      </w:r>
      <w:r>
        <w:t xml:space="preserve"> </w:t>
      </w:r>
      <w:r>
        <w:t xml:space="preserve">, Removed from both fns 30 and 33. LEXIS number unverifiable, original</w:t>
      </w:r>
      <w:r>
        <w:t xml:space="preserve"> </w:t>
      </w:r>
      <w:r>
        <w:t xml:space="preserve">“pro se”</w:t>
      </w:r>
      <w:r>
        <w:t xml:space="preserve"> </w:t>
      </w:r>
      <w:r>
        <w:t xml:space="preserve">framing was incorrect (Nichol had counsel; Umenhofer was the non-attorney). The propositions are now cleanly handled by Carpenter (fn 30, disclosure analogy) and Shih at 574 (fn 33, non-attorney representative).</w:t>
      </w:r>
    </w:p>
    <w:p>
      <w:pPr>
        <w:pStyle w:val="Compact"/>
        <w:numPr>
          <w:ilvl w:val="0"/>
          <w:numId w:val="1005"/>
        </w:numPr>
      </w:pPr>
      <w:r>
        <w:rPr>
          <w:b/>
          <w:bCs/>
        </w:rPr>
        <w:t xml:space="preserve">Footnote 15</w:t>
      </w:r>
      <w:r>
        <w:t xml:space="preserve"> </w:t>
      </w:r>
      <w:r>
        <w:t xml:space="preserve">, Lexis+ AI , archived (perma.cc/J9K6-SWYZ)</w:t>
      </w:r>
    </w:p>
    <w:p>
      <w:pPr>
        <w:pStyle w:val="Compact"/>
        <w:numPr>
          <w:ilvl w:val="0"/>
          <w:numId w:val="1006"/>
        </w:numPr>
      </w:pPr>
      <w:r>
        <w:rPr>
          <w:b/>
          <w:bCs/>
        </w:rPr>
        <w:t xml:space="preserve">Footnote 19</w:t>
      </w:r>
      <w:r>
        <w:t xml:space="preserve"> </w:t>
      </w:r>
      <w:r>
        <w:t xml:space="preserve">, SLRO call URL , archived (perma.cc/AYZ4-YXSJ)</w:t>
      </w:r>
    </w:p>
    <w:p>
      <w:pPr>
        <w:pStyle w:val="Compact"/>
        <w:numPr>
          <w:ilvl w:val="0"/>
          <w:numId w:val="1007"/>
        </w:numPr>
      </w:pPr>
      <w:r>
        <w:rPr>
          <w:b/>
          <w:bCs/>
        </w:rPr>
        <w:t xml:space="preserve">Footnote 27</w:t>
      </w:r>
      <w:r>
        <w:t xml:space="preserve"> </w:t>
      </w:r>
      <w:r>
        <w:t xml:space="preserve">, Clio blog , archived (perma.cc/GE4K-94G4)</w:t>
      </w:r>
    </w:p>
    <w:p>
      <w:pPr>
        <w:pStyle w:val="Compact"/>
        <w:numPr>
          <w:ilvl w:val="0"/>
          <w:numId w:val="1008"/>
        </w:numPr>
      </w:pPr>
      <w:r>
        <w:rPr>
          <w:b/>
          <w:bCs/>
        </w:rPr>
        <w:t xml:space="preserve">Footnote 35</w:t>
      </w:r>
      <w:r>
        <w:t xml:space="preserve"> </w:t>
      </w:r>
      <w:r>
        <w:t xml:space="preserve">, Marsy’s Law , archived (perma.cc/4G8H-2WWF)</w:t>
      </w:r>
    </w:p>
    <w:p>
      <w:pPr>
        <w:pStyle w:val="Compact"/>
        <w:numPr>
          <w:ilvl w:val="0"/>
          <w:numId w:val="1009"/>
        </w:numPr>
      </w:pPr>
      <w:r>
        <w:rPr>
          <w:b/>
          <w:bCs/>
        </w:rPr>
        <w:t xml:space="preserve">Footnotes 13, 14, 17</w:t>
      </w:r>
      <w:r>
        <w:t xml:space="preserve"> </w:t>
      </w:r>
      <w:r>
        <w:t xml:space="preserve">, all URLs archived (10 perma.cc captures total)</w:t>
      </w:r>
    </w:p>
    <w:bookmarkEnd w:id="64"/>
    <w:bookmarkStart w:id="65" w:name="anonymization-checklist"/>
    <w:p>
      <w:pPr>
        <w:pStyle w:val="Heading3"/>
      </w:pPr>
      <w:r>
        <w:t xml:space="preserve">Anonymization Checklist</w:t>
      </w:r>
    </w:p>
    <w:p>
      <w:pPr>
        <w:pStyle w:val="Compact"/>
        <w:numPr>
          <w:ilvl w:val="0"/>
          <w:numId w:val="1010"/>
        </w:numPr>
      </w:pPr>
      <w:r>
        <w:t xml:space="preserve">Author name removed from document body</w:t>
      </w:r>
    </w:p>
    <w:p>
      <w:pPr>
        <w:pStyle w:val="Compact"/>
        <w:numPr>
          <w:ilvl w:val="0"/>
          <w:numId w:val="1011"/>
        </w:numPr>
      </w:pPr>
      <w:r>
        <w:t xml:space="preserve">No institutional affiliation in body</w:t>
      </w:r>
    </w:p>
    <w:p>
      <w:pPr>
        <w:pStyle w:val="Compact"/>
        <w:numPr>
          <w:ilvl w:val="0"/>
          <w:numId w:val="1012"/>
        </w:numPr>
      </w:pPr>
      <w:r>
        <w:t xml:space="preserve">Footnotes 36–38 anonymized with [Author]</w:t>
      </w:r>
    </w:p>
    <w:p>
      <w:pPr>
        <w:pStyle w:val="Compact"/>
        <w:numPr>
          <w:ilvl w:val="0"/>
          <w:numId w:val="1013"/>
        </w:numPr>
      </w:pPr>
      <w:r>
        <w:t xml:space="preserve">Filename is generic (no name in filename)</w:t>
      </w:r>
    </w:p>
    <w:p>
      <w:pPr>
        <w:pStyle w:val="Compact"/>
        <w:numPr>
          <w:ilvl w:val="0"/>
          <w:numId w:val="1014"/>
        </w:numPr>
      </w:pPr>
      <w:r>
        <w:t xml:space="preserve">Document metadata cleaned (author field, Word properties)</w:t>
      </w:r>
    </w:p>
    <w:bookmarkEnd w:id="65"/>
    <w:bookmarkStart w:id="66" w:name="submission"/>
    <w:p>
      <w:pPr>
        <w:pStyle w:val="Heading3"/>
      </w:pPr>
      <w:r>
        <w:t xml:space="preserve">Submission</w:t>
      </w:r>
    </w:p>
    <w:p>
      <w:pPr>
        <w:pStyle w:val="Compact"/>
        <w:numPr>
          <w:ilvl w:val="0"/>
          <w:numId w:val="1015"/>
        </w:numPr>
      </w:pPr>
      <w:r>
        <w:t xml:space="preserve">AI Disclosure Form completed at Google Forms link</w:t>
      </w:r>
    </w:p>
    <w:p>
      <w:pPr>
        <w:pStyle w:val="Compact"/>
        <w:numPr>
          <w:ilvl w:val="0"/>
          <w:numId w:val="1016"/>
        </w:numPr>
      </w:pPr>
      <w:r>
        <w:t xml:space="preserve">File saved as .doc or .docx (NOT PDF)</w:t>
      </w:r>
    </w:p>
    <w:p>
      <w:pPr>
        <w:pStyle w:val="Compact"/>
        <w:numPr>
          <w:ilvl w:val="0"/>
          <w:numId w:val="1017"/>
        </w:numPr>
      </w:pPr>
      <w:r>
        <w:t xml:space="preserve">File under 10 MB</w:t>
      </w:r>
    </w:p>
    <w:p>
      <w:pPr>
        <w:pStyle w:val="Compact"/>
        <w:numPr>
          <w:ilvl w:val="0"/>
          <w:numId w:val="1018"/>
        </w:numPr>
      </w:pPr>
      <w:r>
        <w:t xml:space="preserve">Submit on ONE platform only</w:t>
      </w:r>
    </w:p>
    <w:p>
      <w:pPr>
        <w:pStyle w:val="Compact"/>
        <w:numPr>
          <w:ilvl w:val="0"/>
          <w:numId w:val="1019"/>
        </w:numPr>
      </w:pPr>
      <w:r>
        <w:rPr>
          <w:b/>
          <w:bCs/>
        </w:rPr>
        <w:t xml:space="preserve">Submit April 30 , not May 1</w:t>
      </w:r>
    </w:p>
    <w:p>
      <w:r>
        <w:pict>
          <v:rect style="width:0;height:1.5pt" o:hralign="center" o:hrstd="t" o:hr="t"/>
        </w:pict>
      </w:r>
    </w:p>
    <w:p>
      <w:pPr>
        <w:pStyle w:val="FirstParagraph"/>
      </w:pPr>
      <w:r>
        <w:rPr>
          <w:i/>
          <w:iCs/>
        </w:rPr>
        <w:t xml:space="preserve">This document incorporates verified citation corrections, four structural edits (Shih elevation, counterargument paragraph, Part V–VI bridge strengthening, victim gap introduction), and editorial corrections to factual claims. All citations flagged [VERIFICATION REQUIRED] must be independently confirmed before submission.</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w:t>
      </w:r>
      <w:r>
        <w:t xml:space="preserve"> </w:t>
      </w:r>
      <w:r>
        <w:rPr>
          <w:i/>
          <w:iCs/>
        </w:rPr>
        <w:t xml:space="preserve">4 (no counsel direction, no protection)</w:t>
      </w:r>
      <w:r>
        <w:rPr>
          <w:i/>
          <w:iCs/>
        </w:rPr>
        <w:t xml:space="preserve"> </w:t>
      </w:r>
      <w: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 https://www.proskauer.com/alert/sdny-addresses-privilege-and-work-product-implications-of-using-unsecured-public-ai-tools [https://perma.cc/4JWU-BPWQ] (confirming Heppner’s use of Anthropic’s Claude); Harvey,</w:t>
      </w:r>
      <w:r>
        <w:t xml:space="preserve"> </w:t>
      </w:r>
      <w:r>
        <w:rPr>
          <w:i/>
          <w:iCs/>
        </w:rPr>
        <w:t xml:space="preserve">Opus 4.6, Now Live in Harvey</w:t>
      </w:r>
      <w:r>
        <w:t xml:space="preserve"> </w:t>
      </w:r>
      <w:r>
        <w:t xml:space="preserve">(2026), https://www.harvey.ai/blog/opus-4-6-now-live-in-harvey [https://perma.cc/7JGW-EWA5]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 https://claude.com/customers/harvey [https://perma.cc/E2R7-98JK] (describing Harvey’s use of Claude).</w:t>
      </w:r>
    </w:p>
  </w:footnote>
  <w:footnote w:id="26">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 https://www.thomsonreuters.com/en/press-releases/2025/april/westlaw-precision-with-cocounsel-practical-law-and-cocounsel-to-be-provided-to-us-federal-courts-as-the-essential-information-provider-for-the-federal-judiciary [https://perma.cc/Q5EU-KE4L] (announcing multi-year contract with the Administrative Office of the U.S. Courts).</w:t>
      </w:r>
    </w:p>
  </w:footnote>
  <w:footnote w:id="27">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 https://www.lexisnexis.com/en-us/products/lexis-plus-ai.page [https://perma.cc/J9K6-SWYZ] (describing enterprise-grade security and confidentiality for legal work).</w:t>
      </w:r>
    </w:p>
  </w:footnote>
  <w:footnote w:id="2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2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 https://www.legaltechnologyhub.com/topics/process-improvement/generative-ai-toolkit/ [https://perma.cc/98ER-ZTT3];</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 https://libguides.law.ucdavis.edu/genaiforlawstudents/tools [https://perma.cc/GRE9-VP5E] (citing Legaltech Hub’s March 2026 mapping of 1,014 generative AI product placements in legal tech).</w:t>
      </w:r>
    </w:p>
  </w:footnote>
  <w:footnote w:id="30">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32">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 https://www.stanfordlawreview.org/online/ [https://perma.cc/AYZ4-YXSJ].</w:t>
      </w:r>
    </w:p>
  </w:footnote>
  <w:footnote w:id="35">
    <w:p>
      <w:pPr>
        <w:pStyle w:val="FootnoteText"/>
      </w:pPr>
      <w:r>
        <w:rPr>
          <w:rStyle w:val="FootnoteReference"/>
        </w:rPr>
        <w:footnoteRef/>
      </w:r>
      <w:r>
        <w:t xml:space="preserve"> </w:t>
      </w:r>
      <w:r>
        <w:rPr>
          <w:i/>
          <w:iCs/>
        </w:rPr>
        <w:t xml:space="preserve">Cf.</w:t>
      </w:r>
      <w:r>
        <w:t xml:space="preserve"> </w:t>
      </w:r>
      <w:r>
        <w:t xml:space="preserve">Griffin v. Illinois, 351 U.S. 12, 19 (1956) (</w:t>
      </w:r>
      <w:r>
        <w:t xml:space="preserve">“There can be no equal justice where the kind of trial a man gets depends on the amount of money he has.”</w:t>
      </w:r>
      <w:r>
        <w:t xml:space="preserve">);</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36">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38">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39">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41">
    <w:p>
      <w:pPr>
        <w:pStyle w:val="FootnoteText"/>
      </w:pPr>
      <w:r>
        <w:rPr>
          <w:rStyle w:val="FootnoteReference"/>
        </w:rPr>
        <w:footnoteRef/>
      </w:r>
      <w:r>
        <w:t xml:space="preserve"> </w:t>
      </w:r>
      <w:r>
        <w:t xml:space="preserve">U.S. CONST. amend. I.</w:t>
      </w:r>
    </w:p>
  </w:footnote>
  <w:footnote w:id="42">
    <w:p>
      <w:pPr>
        <w:pStyle w:val="FootnoteText"/>
      </w:pPr>
      <w:r>
        <w:rPr>
          <w:rStyle w:val="FootnoteReference"/>
        </w:rPr>
        <w:footnoteRef/>
      </w:r>
      <w:r>
        <w:t xml:space="preserve"> </w:t>
      </w:r>
      <w:r>
        <w:rPr>
          <w:i/>
          <w:iCs/>
        </w:rPr>
        <w:t xml:space="preserve">Faretta</w:t>
      </w:r>
      <w:r>
        <w:t xml:space="preserve">, 422 U.S. 806.</w:t>
      </w:r>
    </w:p>
  </w:footnote>
  <w:footnote w:id="43">
    <w:p>
      <w:pPr>
        <w:pStyle w:val="FootnoteText"/>
      </w:pPr>
      <w:r>
        <w:rPr>
          <w:rStyle w:val="FootnoteReference"/>
        </w:rPr>
        <w:footnoteRef/>
      </w:r>
      <w:r>
        <w:t xml:space="preserve"> </w:t>
      </w:r>
      <w:r>
        <w:t xml:space="preserve">U.S. CONST. amend. XIV, § 1.</w:t>
      </w:r>
    </w:p>
  </w:footnote>
  <w:footnote w:id="44">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 https://www.clio.com/blog/ai-attorney-client-privilege-heppner/ [https://perma.cc/GE4K-94G4]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w:t>
      </w:r>
      <w:r>
        <w:t xml:space="preserve"> </w:t>
      </w:r>
      <w:r>
        <w:t xml:space="preserve">“conversations”</w:t>
      </w:r>
      <w:r>
        <w:t xml:space="preserve"> </w:t>
      </w:r>
      <w:r>
        <w:t xml:space="preserve">with AI tools</w:t>
      </w:r>
      <w:r>
        <w:t xml:space="preserve"> </w:t>
      </w:r>
      <w:r>
        <w:t xml:space="preserve">“are not privileged and may be subject to discovery”</w:t>
      </w:r>
      <w:r>
        <w:t xml:space="preserve">).</w:t>
      </w:r>
    </w:p>
  </w:footnote>
  <w:footnote w:id="45">
    <w:p>
      <w:pPr>
        <w:pStyle w:val="FootnoteText"/>
      </w:pPr>
      <w:r>
        <w:rPr>
          <w:rStyle w:val="FootnoteReference"/>
        </w:rPr>
        <w:footnoteRef/>
      </w:r>
      <w:r>
        <w:t xml:space="preserve"> </w:t>
      </w:r>
      <w:r>
        <w:rPr>
          <w:i/>
          <w:iCs/>
        </w:rPr>
        <w:t xml:space="preserve">See supra</w:t>
      </w:r>
      <w:r>
        <w:t xml:space="preserve"> </w:t>
      </w:r>
      <w:r>
        <w:t xml:space="preserve">note 12.</w:t>
      </w:r>
    </w:p>
  </w:footnote>
  <w:footnote w:id="46">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49">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w:t>
      </w:r>
      <w:r>
        <w:t xml:space="preserve"> </w:t>
      </w:r>
      <w:r>
        <w:t xml:space="preserve">“the Fourth Amendment falls out of the picture entirely”</w:t>
      </w:r>
      <w:r>
        <w:t xml:space="preserve">).</w:t>
      </w:r>
    </w:p>
  </w:footnote>
  <w:footnote w:id="50">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51">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52">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w:t>
      </w:r>
      <w:r>
        <w:t xml:space="preserve">“Generative AI programs are tools, not persons.”</w:t>
      </w:r>
      <w:r>
        <w:t xml:space="preserve">).</w:t>
      </w:r>
    </w:p>
  </w:footnote>
  <w:footnote w:id="53">
    <w:p>
      <w:pPr>
        <w:pStyle w:val="FootnoteText"/>
      </w:pPr>
      <w:r>
        <w:rPr>
          <w:rStyle w:val="FootnoteReference"/>
        </w:rPr>
        <w:footnoteRef/>
      </w:r>
      <w:r>
        <w:t xml:space="preserve"> </w:t>
      </w:r>
      <w:r>
        <w:t xml:space="preserve">Fed. R. Civ. P. 26(b)(3)(A). The rule’s text covers</w:t>
      </w:r>
      <w:r>
        <w:t xml:space="preserve"> </w:t>
      </w:r>
      <w:r>
        <w:t xml:space="preserve">“a party or its representative,”</w:t>
      </w:r>
      <w:r>
        <w:t xml:space="preserve"> </w:t>
      </w:r>
      <w:r>
        <w:t xml:space="preserve">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54">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55">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 https://www.marsyslaw.us [https://perma.cc/4G8H-2WWF]. The model amendment does not include provisions for AI-assisted preparation or work-product protection.</w:t>
      </w:r>
    </w:p>
  </w:footnote>
  <w:footnote w:id="5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 https://doi.org/10.5281/zenodo.18792459.</w:t>
      </w:r>
    </w:p>
  </w:footnote>
  <w:footnote w:id="58">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59">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 https://doi.org/10.5281/zenodo.19105225.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2026-05-02T03:50:30Z</dcterms:created>
  <dcterms:modified xsi:type="dcterms:W3CDTF">2026-05-02T03:50:30Z</dcterms:modified>
</cp:coreProperties>
</file>

<file path=docProps/custom.xml><?xml version="1.0" encoding="utf-8"?>
<Properties xmlns="http://schemas.openxmlformats.org/officeDocument/2006/custom-properties" xmlns:vt="http://schemas.openxmlformats.org/officeDocument/2006/docPropsVTypes"/>
</file>