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hose-legal-thought-stays-protected"/>
    <w:p>
      <w:pPr>
        <w:pStyle w:val="Heading1"/>
      </w:pPr>
      <w:r>
        <w:t xml:space="preserve">Whose Legal Thought Stays Protected?</w:t>
      </w:r>
    </w:p>
    <w:bookmarkStart w:id="9" w:name="Xe3d310e3e26fc26e669ed32072b1d34a7cc54e3"/>
    <w:p>
      <w:pPr>
        <w:pStyle w:val="Heading2"/>
      </w:pPr>
      <w:r>
        <w:t xml:space="preserve">AI, Work Product, and the Civil Rights of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 whether defending against criminal charges, seeking redress, or navigating administrative systems, 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By "civil rights" this Essay means both the constitutional guarantees of equal protection, due process, and access to courts, and the broader civil rights tradition of identifying structural arrangements that perpetuate inequality even when formal legal equality exists.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 (legal research, case analysis, strategic planning) 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 ("shelter[ing] the mental processes of the attorney, providing a privileged area within which he can analyze and prepare his client's case"),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 "simultaneously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(the ability to research, analyze, and strategize without surrendering that work to the opposing side) 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 who are not parties to the criminal proceeding, not represented by the prosecutor, and not entitled to appointed counsel, 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 (the technical, contractual, and institutional systems) 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 including a recently discovered conservation law, 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 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 (paralegals, investigators, consultants) 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 (while the opposing side's lawyer prepares in the shelter of work-product protection), 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 who are not parties, not represented by the prosecutor, and not self-represented litigants, 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 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When the state, through its courts and procedural rules, ratifies a system in which the protection of legal preparation is distributed by private contract rather than by public entitlement, it conditions the exercise of constitutional rights on market access. That is, at its core, a civil rights problem.</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Not every procedural asymmetry rises to the level of a civil rights concern. The fracture described here does, because the protection at issue (the ability to prepare in confidence) is a precondition to the exercise of rights the Constitution already guarantees. 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 (one a lawyer through Harvey, the other a self-represented litigant through consumer AI) 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 the precise distributive consequence that civil rights scrutiny exists to address.</w:t>
      </w:r>
      <w:r>
        <w:rPr>
          <w:rStyle w:val="FootnoteReference"/>
        </w:rPr>
        <w:footnoteReference w:id="51"/>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 to think legally in private, is functionally part of the right itself, not an adjunct to it. Griffin's principle, that "there can be no equal justice where the kind of trial a man gets depends on the amount of money he has", 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The victim gap is not an oversight but a structural inevitability: because victims are not parties, the prosecutor represents the state rather than them, and the Sixth Amendment right to counsel does not attach, no existing framework reaches their preparation at all. For each of these populations,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 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 (the prompts, the directional choices, the integration of output into a litigation strategy) 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72"/>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 "sheltered preparation in anticipation of proceedings" 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 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 that legal analytical capability tracks professional credential,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2026-05-02T01:51:26Z</dcterms:created>
  <dcterms:modified xsi:type="dcterms:W3CDTF">2026-05-02T01:51:26Z</dcterms:modified>
</cp:coreProperties>
</file>

<file path=docProps/custom.xml><?xml version="1.0" encoding="utf-8"?>
<Properties xmlns="http://schemas.openxmlformats.org/officeDocument/2006/custom-properties" xmlns:vt="http://schemas.openxmlformats.org/officeDocument/2006/docPropsVTypes"/>
</file>