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whose-legal-thought-stays-protected"/>
    <w:p>
      <w:pPr>
        <w:pStyle w:val="Heading1"/>
      </w:pPr>
      <w:r>
        <w:t xml:space="preserve">Whose Legal Thought Stays Protected?</w:t>
      </w:r>
    </w:p>
    <w:bookmarkStart w:id="9" w:name="Xe3d310e3e26fc26e669ed32072b1d34a7cc54e3"/>
    <w:p>
      <w:pPr>
        <w:pStyle w:val="Heading2"/>
      </w:pPr>
      <w:r>
        <w:t xml:space="preserve">AI, Work Product, and the Civil Rights of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the fracture raises a civil rights problem. As AI becomes a primary tool for legal preparation, access to protected legal reasoning increasingly tracks professional credential and platform tier rather than function. Effective participation in legal proceedings requires the ability to prepare without compelled disclosure; the uneven protection of AI-assisted work entrenches structural inequality. The most exposed are precisely those who rely on AI most heavily to exercise legal rights: people without counsel and without access to enterprise-grade tools.</w:t>
      </w:r>
    </w:p>
    <w:p>
      <w:pPr>
        <w:pStyle w:val="BodyText"/>
      </w:pPr>
      <w:r>
        <w:t xml:space="preserve">This Essay contends that this emerging regime implicates core concerns of civil rights law, including equal protection, procedural fairness, and meaningful access to legal institutions. By "civil rights" this Essay means both the constitutional guarantees of equal protection, due process, and access to courts, and the broader civil rights tradition of identifying structural arrangements that perpetuate inequality even when formal legal equality exists.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That day marked the beginning of a divide over whether AI-assisted legal preparation is protected work product. The question was whether materials a person created with the assistance of a publicly available AI platform (legal research, case analysis, strategic planning) are protected work product, or whether they are discoverable because the AI platform is not an attorney and its terms of service disclaim confidentiality. The answer, it turns out, depends on who the person is. This is not a new narrative. Every transformative technology has outpaced the doctrinal categories that govern it; AI introduces a new kind of variation that the system has not yet accounted for. It is not doctrinal failure. It is a new condition requiring new infrastructure.</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 ("shelter[ing] the mental processes of the attorney, providing a privileged area within which he can analyze and prepare his client's case"), 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Within days of each other,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 "simultaneously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 (the ability to research, analyze, and strategize without surrendering that work to the opposing side) attaches to the nature of the work or the status of the person performing it. This Essay enters an empty field. Existing scholarship treats AI as a civil rights threat in employment, housing, and criminal sentencing contexts, but has not yet examined how AI's role in legal preparation itself implicates equal protection, procedural fairness, and access to courts. This Essay argues that the fracture reveals a structural inequality in the distribution of protected legal thought, one that AI has made visible and that civil rights law is uniquely positioned to address. At its most extreme, this fracture leaves crime victims, who are not parties to the criminal proceeding, not represented by the prosecutor, and not entitled to appointed counsel, 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 (the technical, contractual, and institutional systems) 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 including a recently discovered conservation law, 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At its core, the doctrine protects the mental impressions, strategies, and legal reasoning developed in anticipation of litigation, not merely the documents in which they are expressed. 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 (paralegals, investigators, consultants) 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 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 (while the opposing side's lawyer prepares in the shelter of work-product protection), 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 who are not parties, not represented by the prosecutor, and not self-represented litigants, 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 (Claude, ChatGPT, Gemini) 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 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When the state, through its courts and procedural rules, ratifies a system in which the protection of legal preparation is distributed by private contract rather than by public entitlement, it conditions the exercise of constitutional rights on market access. That is, at its core, a civil rights problem.</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Not every procedural asymmetry rises to the level of a civil rights concern. The fracture described here does, because the protection at issue (the ability to prepare in confidence) is a precondition to the exercise of rights the Constitution already guarantees. 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 (one a lawyer through Harvey, the other a self-represented litigant through consumer AI) 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 the precise distributive consequence that civil rights scrutiny exists to address.</w:t>
      </w:r>
      <w:r>
        <w:rPr>
          <w:rStyle w:val="FootnoteReference"/>
        </w:rPr>
        <w:footnoteReference w:id="51"/>
      </w:r>
      <w:r>
        <w:t xml:space="preserve"> </w:t>
      </w:r>
      <w:r>
        <w:t xml:space="preserve">The historical justification for credential-based asymmetry, that lawyers had unique analytical capacity, 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 to think legally in private, is functionally part of the right itself, not an adjunct to it. Griffin's principle, that "there can be no equal justice where the kind of trial a man gets depends on the amount of money he has", 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 (knowing their research, analysis, and strategy cannot be compelled) 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The victim gap is not an oversight but a structural inevitability: because victims are not parties, the prosecutor represents the state rather than them, and the Sixth Amendment right to counsel does not attach, no existing framework reaches their preparation at all. For each of these populations,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 (discriminatory hiring tools, automated benefits denials, proxy discrimination in lending) 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 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 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The objection is misplaced. The functional rule does not protect AI output as algorithmic product; it protects the human preparation activity (the prompts, the directional choices, the integration of output into a litigation strategy) that embeds the preparer's mental impressions as surely as a paralegal's research memorandum does. The copyright analogy under</w:t>
      </w:r>
      <w:r>
        <w:t xml:space="preserve"> </w:t>
      </w:r>
      <w:r>
        <w:rPr>
          <w:i/>
          <w:iCs/>
        </w:rPr>
        <w:t xml:space="preserve">Thaler v. Perlmutter</w:t>
      </w:r>
      <w:r>
        <w:t xml:space="preserve"> </w:t>
      </w:r>
      <w:r>
        <w:t xml:space="preserve">is distinguishable on this same ground: copyright requires a human author whose creative expression resides in the work, while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 the computational inference itself is not such an event.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 regardless of whether they are represented, self-represented, or preparing to participate as a crime victim in a criminal proceeding, 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 For example, targeted amendments to the Crime Victims' Rights Act</w:t>
      </w:r>
      <w:r>
        <w:rPr>
          <w:rStyle w:val="FootnoteReference"/>
        </w:rPr>
        <w:footnoteReference w:id="72"/>
      </w:r>
      <w:r>
        <w:t xml:space="preserve"> </w:t>
      </w:r>
      <w:r>
        <w:t xml:space="preserve">or model provisions for state victims' rights campaigns can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 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 (its obligations, prohibitions, permissions, and constraints) 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 (defining the kernel as "sheltered preparation in anticipation of proceedings" and implementing governed transformation protocols) would make the functional rule's protection demonstrable, not merely doctrinal. A person preparing for litigation could demonstrate not only that they intended their work to be confidential but that the confidentiality was structurally preserved 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 and that the functional rule proposed here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 that legal analytical capability tracks professional credential, 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 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w:panose1 w:val="020B0004020202020204"/>
    <w:charset w:val="00"/>
    <w:family w:val="swiss"/>
    <w:pitch w:val="variable"/>
    <w:sig w:usb0="20000287" w:usb1="00000003" w:usb2="00000000" w:usb3="00000000" w:csb0="0000019F" w:csb1="00000000"/>
  </w:font>
  <w:font w:name="Times New Roman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40503050406030204"/>
    <w:charset w:val="00"/>
    <w:family w:val="roman"/>
    <w:pitch w:val="variable"/>
    <w:sig w:usb0="E00002FF" w:usb1="400004FF" w:usb2="00000000" w:usb3="00000000" w:csb0="0000019F" w:csb1="00000000"/>
  </w:font>
  <w:font w:name="Times New Roman">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rPr>
          <w:i/>
          <w:iCs/>
        </w:rPr>
        <w:t xml:space="preserve">Heppner</w:t>
      </w:r>
      <w:r>
        <w:t xml:space="preserve">,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rPr>
          <w:i/>
          <w:iCs/>
        </w:rPr>
        <w:t xml:space="preserve">Warner</w:t>
      </w:r>
      <w:r>
        <w:t xml:space="preserve">,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Hickman v. Taylor, 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rPr>
          <w:i/>
          <w:iCs/>
        </w:rPr>
        <w:t xml:space="preserve">Heppner</w:t>
      </w:r>
      <w:r>
        <w:t xml:space="preserve">, 2026 WL 436479, at *4 (no counsel direction, no protection)</w:t>
      </w:r>
      <w:r>
        <w:t xml:space="preserve"> </w:t>
      </w:r>
      <w:r>
        <w:rPr>
          <w:i/>
          <w:iCs/>
        </w:rPr>
        <w:t xml:space="preserve">with</w:t>
      </w:r>
      <w:r>
        <w:t xml:space="preserve"> </w:t>
      </w:r>
      <w:r>
        <w:rPr>
          <w:i/>
          <w:iCs/>
        </w:rPr>
        <w:t xml:space="preserve">Warner</w:t>
      </w:r>
      <w:r>
        <w:t xml:space="preserve">,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rPr>
          <w:i/>
          <w:iCs/>
        </w:rPr>
        <w:t xml:space="preserve">Heppner</w:t>
      </w:r>
      <w:r>
        <w:t xml:space="preserve">,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w:t>
      </w:r>
      <w:r>
        <w:t xml:space="preserve"> </w:t>
      </w:r>
      <w:r>
        <w:rPr>
          <w:i/>
          <w:iCs/>
        </w:rPr>
        <w:t xml:space="preserve">Griffin</w:t>
      </w:r>
      <w:r>
        <w:t xml:space="preserve">,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rPr>
          <w:i/>
          <w:iCs/>
        </w:rPr>
        <w:t xml:space="preserve">Faretta</w:t>
      </w:r>
      <w:r>
        <w:t xml:space="preserve">, 422 U.S. 806.</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r>
        <w:t xml:space="preserve"> </w:t>
      </w:r>
      <w:r>
        <w:rPr>
          <w:i/>
          <w:iCs/>
        </w:rPr>
        <w:t xml:space="preserve">see also</w:t>
      </w:r>
      <w:r>
        <w:t xml:space="preserve"> </w:t>
      </w:r>
      <w:r>
        <w:t xml:space="preserve">Lucas v. Scharf, 2026 WL 642917 (W.D.N.C. Feb. 25, 2026) (warning pro se litigants that "conversations" with AI tools "are not privileged and may be subject to discovery").</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Shih v. Petal Card, Inc., 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rPr>
          <w:i/>
          <w:iCs/>
        </w:rPr>
        <w:t xml:space="preserve">Warner</w:t>
      </w:r>
      <w:r>
        <w:t xml:space="preserve">,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 In re Cendant Corp. Sec. Litig., 343 F.3d 658 (3d Cir. 2003) (litigation consultants qualify as non-attorney representatives under the doctrine); United States ex rel. Bibby v. Wells Fargo Bank, N.A., 165 F. Supp. 3d 1319 (N.D. Ga. 2015) (extending protection to non-attorney investigator acting as attorney's agent).</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Times New Roman"/>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Times New Roman"/>
        <a:font script="Hebr" typeface="Times New Roman"/>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Times New Roman"/>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2026-05-02T03:06:07Z</dcterms:created>
  <dcterms:modified xsi:type="dcterms:W3CDTF">2026-05-02T03:06:07Z</dcterms:modified>
</cp:coreProperties>
</file>

<file path=docProps/custom.xml><?xml version="1.0" encoding="utf-8"?>
<Properties xmlns="http://schemas.openxmlformats.org/officeDocument/2006/custom-properties" xmlns:vt="http://schemas.openxmlformats.org/officeDocument/2006/docPropsVTypes"/>
</file>