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the doctrine protects the mental impressions, strategies, and legal reasoning developed in anticipation of litigation—not merely the documents in which they are expressed. 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litigants"—the precise distributive consequence that civil rights scrutiny exists to address.</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activity—the prompts, the directional choices, the integration of output into a litigation strategy—that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2"/>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 *4 (no counsel direction, no protection)</w:t>
      </w:r>
      <w:r>
        <w:t xml:space="preserve"> </w:t>
      </w:r>
      <w:r>
        <w:rPr>
          <w:i/>
          <w:iCs/>
        </w:rP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2026-05-02T01:26:44Z</dcterms:created>
  <dcterms:modified xsi:type="dcterms:W3CDTF">2026-05-02T01:26:44Z</dcterms:modified>
</cp:coreProperties>
</file>

<file path=docProps/custom.xml><?xml version="1.0" encoding="utf-8"?>
<Properties xmlns="http://schemas.openxmlformats.org/officeDocument/2006/custom-properties" xmlns:vt="http://schemas.openxmlformats.org/officeDocument/2006/docPropsVTypes"/>
</file>