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the doctrine protects the mental impressions, strategies, and legal reasoning developed in anticipation of litigation—not merely the documents in which they are expressed. 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litigants"—the precise distributive consequence that civil rights scrutiny exists to address.</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activity—the prompts, the directional choices, the integration of output into a litigation strategy—that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2"/>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2026-05-02T01:19:08Z</dcterms:created>
  <dcterms:modified xsi:type="dcterms:W3CDTF">2026-05-02T01:19:08Z</dcterms:modified>
</cp:coreProperties>
</file>

<file path=docProps/custom.xml><?xml version="1.0" encoding="utf-8"?>
<Properties xmlns="http://schemas.openxmlformats.org/officeDocument/2006/custom-properties" xmlns:vt="http://schemas.openxmlformats.org/officeDocument/2006/docPropsVTypes"/>
</file>