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protected-legal-thought-in-the-age-of-ai"/>
    <w:p>
      <w:pPr>
        <w:pStyle w:val="Heading1"/>
      </w:pPr>
      <w:r>
        <w:t xml:space="preserve">Protected Legal Thought in the Age of AI</w:t>
      </w:r>
    </w:p>
    <w:bookmarkStart w:id="9" w:name="X9a9c02e9c1060d1893f4ed2a0745949c9054ec6"/>
    <w:p>
      <w:pPr>
        <w:pStyle w:val="Heading2"/>
      </w:pPr>
      <w:r>
        <w:t xml:space="preserve">Work Product and the Civil Rights of Legal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this fracture raises an underexamined civil rights problem. As artificial intelligence becomes a primary tool for legal preparation, access to protected legal reasoning increasingly depends on professional credential and platform tier rather than function. Because effective participation in legal processes—whether defending against criminal charges, seeking redress, or navigating administrative systems—requires the ability to prepare without compelled disclosure, the uneven protection of AI-assisted work risks entrenching structural inequality across the legal system. Individuals without access to counsel or enterprise-grade tools may be uniquely exposed, even as they rely most heavily on AI to exercise legal rights.</w:t>
      </w:r>
    </w:p>
    <w:p>
      <w:pPr>
        <w:pStyle w:val="BodyText"/>
      </w:pPr>
      <w:r>
        <w:t xml:space="preserve">This Essay contends that this emerging regime implicates core concerns of civil rights law, including equal protection, procedural fairness, and meaningful access to legal institutions.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split is not a procedural anomaly. It is the first visible surface of a structural inequality forming inside AI-mediated legal systems. The question was whether materials a person created with the assistance of a publicly available AI platform—legal research, case analysis, strategic planning—are protected work product, or whether they are discoverable because the AI platform is not an attorney and its terms of service disclaim confidentiality. The answer, it turns out, depends on who the person is.</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doctrine—"shelter[ing] the mental processes of the attorney, providing a privileged area within which he can analyze and prepare his client's case"—found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On the same day,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preparation—the ability to research, analyze, and strategize without surrendering that work to the opposing side—attaches to the nature of the work or the status of the person performing it. This Essay argues that the fracture reveals a structural inequality in the distribution of protected legal thought, one that AI has made visible and that civil rights law is uniquely positioned to address. At its most extreme, this fracture leaves crime victims—who are not parties to the criminal proceeding, not represented by the prosecutor, and not entitled to appointed counsel—with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infrastructure—the technical, contractual, and institutional systems—that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materials—including a recently discovered conservation law—that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agents—paralegals, investigators, consultants—was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side—while the opposing side's lawyer prepares in the shelter of work-product protection—the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victims—who are not parties, not represented by the prosecutor, and not self-represented litigants—no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models—Claude, ChatGPT, Gemini—are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Publicly available materials do not establish that enterprise and consumer processing paths are architecturally segregated.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The delegation of constitutional protection into private channel architecture raises questions that extend beyond privilege doctrine into the domain of civil rights.</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litigation—one a lawyer through Harvey, the other a self-represented litigant through consumer AI—may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have not yet confronted directly but cannot indefinitely avoid, particularly where the distinction systematically disadvantages those without access to counsel or protected channels of preparation.</w:t>
      </w:r>
      <w:r>
        <w:rPr>
          <w:rStyle w:val="FootnoteReference"/>
        </w:rPr>
        <w:footnoteReference w:id="51"/>
      </w:r>
      <w:r>
        <w:t xml:space="preserve"> </w:t>
      </w:r>
      <w:r>
        <w:t xml:space="preserve">The historical justification for credential-based asymmetry—that lawyers had unique analytical capacity—collapses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prepare—to think legally in private—is functionally part of the right itself, not an adjunct to it. Griffin's principle—that "there can be no equal justice where the kind of trial a man gets depends on the amount of money he has"—applies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shelter—knowing their research, analysis, and strategy cannot be compelled—and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For each,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asymmetries—discriminatory hiring tools, automated benefits denials, proxy discrimination in lending—by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5"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69"/>
      </w:r>
      <w:r>
        <w:t xml:space="preserve"> </w:t>
      </w:r>
      <w:r>
        <w:t xml:space="preserve">The legally relevant events are onward sharing, human review by platform staff, government subpoena of stored data, or actual adversarial access—not the computational inference itself.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0"/>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litigation—regardless of whether they are represented, self-represented, or preparing to participate as a crime victim in a criminal proceeding—is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gaps—for example, targeted amendments to the Crime Victims' Rights Act</w:t>
      </w:r>
      <w:r>
        <w:rPr>
          <w:rStyle w:val="FootnoteReference"/>
        </w:rPr>
        <w:footnoteReference w:id="71"/>
      </w:r>
      <w:r>
        <w:t xml:space="preserve"> </w:t>
      </w:r>
      <w:r>
        <w:t xml:space="preserve">or model provisions for state victims' rights campaigns—to ensure that crime victims' AI-assisted preparation materials are not discoverable by the very defendants whose conduct they are documenting.</w:t>
      </w:r>
      <w:r>
        <w:rPr>
          <w:rStyle w:val="FootnoteReference"/>
        </w:rPr>
        <w:footnoteReference w:id="72"/>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5"/>
    <w:bookmarkStart w:id="81"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6"/>
      </w:r>
      <w:r>
        <w:t xml:space="preserve"> </w:t>
      </w:r>
      <w:r>
        <w:t xml:space="preserve">The Conservation Law of Commitment establishes that under governed conditions, the commitment kernel of a signal—its obligations, prohibitions, permissions, and constraints—is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context—defining the kernel as "sheltered preparation in anticipation of proceedings" and implementing governed transformation protocols—would make the functional rule's protection demonstrable, not merely doctrinal. A person preparing for litigation could demonstrate not only that they intended their work to be confidential but that the confidentiality was structurally preserved—through cryptographic lineage, fidelity verification gates, and recursion testing.</w:t>
      </w:r>
      <w:r>
        <w:rPr>
          <w:rStyle w:val="FootnoteReference"/>
        </w:rPr>
        <w:footnoteReference w:id="78"/>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79"/>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possible—and that the functional rule proposed here is designed to take advantage of that possibility as it matures.</w:t>
      </w:r>
    </w:p>
    <w:p>
      <w:r>
        <w:pict>
          <v:rect style="width:0;height:1.5pt" o:hralign="center" o:hrstd="t" o:hr="t"/>
        </w:pict>
      </w:r>
    </w:p>
    <w:bookmarkEnd w:id="81"/>
    <w:bookmarkStart w:id="82"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doctrine—that legal analytical capability tracks professional credential—has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2"/>
    <w:bookmarkStart w:id="83"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t xml:space="preserve">Heppner,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t xml:space="preserve">Warner,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t xml:space="preserve">Heppner, 2026 WL 436479, at *4 (no counsel direction, no protection)</w:t>
      </w:r>
      <w:r>
        <w:t xml:space="preserve"> </w:t>
      </w:r>
      <w:r>
        <w:rPr>
          <w:i/>
          <w:iCs/>
        </w:rPr>
        <w:t xml:space="preserve">with</w:t>
      </w:r>
      <w:r>
        <w:t xml:space="preserve"> </w:t>
      </w:r>
      <w:r>
        <w:t xml:space="preserve">Warner,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t xml:space="preserve">Heppner,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 Griffin,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t xml:space="preserve">422 U.S. 806 (1975).</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(2018) (by analogy, holding that diminished privacy interests in information shared with a third party do not categorically defeat constitutional protection);</w:t>
      </w:r>
      <w:r>
        <w:t xml:space="preserve"> </w:t>
      </w:r>
      <w:r>
        <w:rPr>
          <w:i/>
          <w:iCs/>
        </w:rPr>
        <w:t xml:space="preserve">see also</w:t>
      </w:r>
      <w:r>
        <w:t xml:space="preserve"> </w:t>
      </w:r>
      <w:r>
        <w:t xml:space="preserve">Nichol v. City of Springfield, No. 6:14-cv-1983-AA, 2015 U.S. Dist. LEXIS 169901 (D. Or. Dec. 18, 2015) (extending work-product protection to materials prepared by a non-attorney friend assisting a pro se litigant in anticipation of litigation).</w:t>
      </w:r>
    </w:p>
  </w:footnote>
  <w:footnote w:id="68">
    <w:p>
      <w:pPr>
        <w:pStyle w:val="FootnoteText"/>
      </w:pPr>
      <w:r>
        <w:rPr>
          <w:rStyle w:val="FootnoteReference"/>
        </w:rPr>
        <w:footnoteRef/>
      </w:r>
      <w:r>
        <w:t xml:space="preserve"> </w:t>
      </w:r>
      <w:r>
        <w:t xml:space="preserve">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Warner, 2026 WL 373043, at *4 ("Generative AI programs are tools, not persons.").</w:t>
      </w:r>
    </w:p>
  </w:footnote>
  <w:footnote w:id="70">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w:t>
      </w:r>
      <w:r>
        <w:t xml:space="preserve"> </w:t>
      </w:r>
      <w:r>
        <w:rPr>
          <w:i/>
          <w:iCs/>
        </w:rPr>
        <w:t xml:space="preserve">Nichol</w:t>
      </w:r>
      <w:r>
        <w:t xml:space="preserve">, 2015 U.S. Dist. LEXIS 169901 (same for non-attorney friend of pro se litigant).</w:t>
      </w:r>
    </w:p>
  </w:footnote>
  <w:footnote w:id="71">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2">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3">
        <w:r>
          <w:rPr>
            <w:rStyle w:val="Hyperlink"/>
          </w:rPr>
          <w:t xml:space="preserve">https://www.marsyslaw.us</w:t>
        </w:r>
      </w:hyperlink>
      <w:r>
        <w:t xml:space="preserve"> </w:t>
      </w:r>
      <w:r>
        <w:t xml:space="preserve">[</w:t>
      </w:r>
      <w:hyperlink r:id="rId74">
        <w:r>
          <w:rPr>
            <w:rStyle w:val="Hyperlink"/>
          </w:rPr>
          <w:t xml:space="preserve">https://perma.cc/4G8H-2WWF</w:t>
        </w:r>
      </w:hyperlink>
      <w:r>
        <w:t xml:space="preserve">]. The model amendment does not include provisions for AI-assisted preparation or work-product protection.</w:t>
      </w:r>
    </w:p>
  </w:footnote>
  <w:footnote w:id="76">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7">
        <w:r>
          <w:rPr>
            <w:rStyle w:val="Hyperlink"/>
          </w:rPr>
          <w:t xml:space="preserve">https://doi.org/10.5281/zenodo.18792459</w:t>
        </w:r>
      </w:hyperlink>
      <w:r>
        <w:t xml:space="preserve">.</w:t>
      </w:r>
    </w:p>
  </w:footnote>
  <w:footnote w:id="78">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79">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0">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7" Target="https://doi.org/10.5281/zenodo.18792459" TargetMode="External" /><Relationship Type="http://schemas.openxmlformats.org/officeDocument/2006/relationships/hyperlink" Id="rId80"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4"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3"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7" Target="https://doi.org/10.5281/zenodo.18792459" TargetMode="External" /><Relationship Type="http://schemas.openxmlformats.org/officeDocument/2006/relationships/hyperlink" Id="rId80"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4"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3"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2026-05-01T22:47:20Z</dcterms:created>
  <dcterms:modified xsi:type="dcterms:W3CDTF">2026-05-01T22:47:20Z</dcterms:modified>
</cp:coreProperties>
</file>

<file path=docProps/custom.xml><?xml version="1.0" encoding="utf-8"?>
<Properties xmlns="http://schemas.openxmlformats.org/officeDocument/2006/custom-properties" xmlns:vt="http://schemas.openxmlformats.org/officeDocument/2006/docPropsVTypes"/>
</file>