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whose-legal-thought-stays-protected"/>
    <w:p>
      <w:pPr>
        <w:pStyle w:val="Heading1"/>
      </w:pPr>
      <w:r>
        <w:t xml:space="preserve">Whose Legal Thought Stays Protected?</w:t>
      </w:r>
    </w:p>
    <w:bookmarkStart w:id="9" w:name="Xe3d310e3e26fc26e669ed32072b1d34a7cc54e3"/>
    <w:p>
      <w:pPr>
        <w:pStyle w:val="Heading2"/>
      </w:pPr>
      <w:r>
        <w:t xml:space="preserve">AI, Work Product, and the Civil Rights of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 whether defending against criminal charges, seeking redress, or navigating administrative systems, 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By "civil rights" this Essay means both the constitutional guarantees of equal protection, due process, and access to courts, and the broader civil rights tradition of identifying structural arrangements that perpetuate inequality even when formal legal equality exists.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 (legal research, case analysis, strategic planning) 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 ("shelter[ing] the mental processes of the attorney, providing a privileged area within which he can analyze and prepare his client's case"), 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 "simultaneously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 (the ability to research, analyze, and strategize without surrendering that work to the opposing side) attaches to the nature of the work or the status of the person performing it. This Essay enters an empty field. Existing scholarship treats AI as a civil rights threat in employment, housing, and criminal sentencing contexts, but has not yet examined how AI's role in legal preparation itself implicates equal protection, procedural fairness, and access to courts. This Essay argues that the fracture reveals a structural inequality in the distribution of protected legal thought, one that AI has made visible and that civil rights law is uniquely positioned to address. At its most extreme, this fracture leaves crime victims, who are not parties to the criminal proceeding, not represented by the prosecutor, and not entitled to appointed counsel, 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 (the technical, contractual, and institutional systems) 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 including a recently discovered conservation law, 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At its core, the doctrine protects the mental impressions, strategies, and legal reasoning developed in anticipation of litigation, not merely the documents in which they are expressed. 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 (paralegals, investigators, consultants) 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 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 (while the opposing side's lawyer prepares in the shelter of work-product protection), 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 who are not parties, not represented by the prosecutor, and not self-represented litigants, 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 (Claude, ChatGPT, Gemini) 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 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When the state, through its courts and procedural rules, ratifies a system in which the protection of legal preparation is distributed by private contract rather than by public entitlement, it conditions the exercise of constitutional rights on market access. That is, at its core, a civil rights problem.</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Not every procedural asymmetry rises to the level of a civil rights concern. The fracture described here does, because the protection at issue (the ability to prepare in confidence) is a precondition to the exercise of rights the Constitution already guarantees. 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 (one a lawyer through Harvey, the other a self-represented litigant through consumer AI) 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 "would further disadvantage unrepresented litigants": the precise distributive consequence that civil rights scrutiny exists to address.</w:t>
      </w:r>
      <w:r>
        <w:rPr>
          <w:rStyle w:val="FootnoteReference"/>
        </w:rPr>
        <w:footnoteReference w:id="51"/>
      </w:r>
      <w:r>
        <w:t xml:space="preserve"> </w:t>
      </w:r>
      <w:r>
        <w:t xml:space="preserve">The historical justification for credential-based asymmetry, that lawyers had unique analytical capacity, 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 to think legally in private, is functionally part of the right itself, not an adjunct to it. Griffin's principle, that "there can be no equal justice where the kind of trial a man gets depends on the amount of money he has", 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 (knowing their research, analysis, and strategy cannot be compelled) 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The victim gap is not an oversight but a structural inevitability: because victims are not parties, the prosecutor represents the state rather than them, and the Sixth Amendment right to counsel does not attach, no existing framework reaches their preparation at all. For each of these populations,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 (discriminatory hiring tools, automated benefits denials, proxy discrimination in lending) 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6"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 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 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69"/>
      </w:r>
      <w:r>
        <w:t xml:space="preserve"> </w:t>
      </w:r>
      <w:r>
        <w:t xml:space="preserve">The objection is misplaced. The functional rule does not protect AI output as algorithmic product; it protects the human preparation activity (the prompts, the directional choices, the integration of output into a litigation strategy) that embeds the preparer's mental impressions as surely as a paralegal's research memorandum does. The copyright analogy under</w:t>
      </w:r>
      <w:r>
        <w:t xml:space="preserve"> </w:t>
      </w:r>
      <w:r>
        <w:rPr>
          <w:i/>
          <w:iCs/>
        </w:rPr>
        <w:t xml:space="preserve">Thaler v. Perlmutter</w:t>
      </w:r>
      <w:r>
        <w:t xml:space="preserve"> </w:t>
      </w:r>
      <w:r>
        <w:t xml:space="preserve">is distinguishable on this same ground: copyright requires a human author whose creative expression resides in the work, while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70"/>
      </w:r>
      <w:r>
        <w:t xml:space="preserve"> </w:t>
      </w:r>
      <w:r>
        <w:t xml:space="preserve">The legally relevant events are onward sharing, human review by platform staff, government subpoena of stored data, or actual adversarial access; the computational inference itself is not such an event.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1"/>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 regardless of whether they are represented, self-represented, or preparing to participate as a crime victim in a criminal proceeding, 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 For example, targeted amendments to the Crime Victims' Rights Act</w:t>
      </w:r>
      <w:r>
        <w:rPr>
          <w:rStyle w:val="FootnoteReference"/>
        </w:rPr>
        <w:footnoteReference w:id="72"/>
      </w:r>
      <w:r>
        <w:t xml:space="preserve"> </w:t>
      </w:r>
      <w:r>
        <w:t xml:space="preserve">or model provisions for state victims' rights campaigns can ensure that crime victims' AI-assisted preparation materials are not discoverable by the very defendants whose conduct they are documenting.</w:t>
      </w:r>
      <w:r>
        <w:rPr>
          <w:rStyle w:val="FootnoteReference"/>
        </w:rPr>
        <w:footnoteReference w:id="73"/>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6"/>
    <w:bookmarkStart w:id="82"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 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7"/>
      </w:r>
      <w:r>
        <w:t xml:space="preserve"> </w:t>
      </w:r>
      <w:r>
        <w:t xml:space="preserve">The Conservation Law of Commitment establishes that under governed conditions, the commitment kernel of a signal (its obligations, prohibitions, permissions, and constraints) 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 (defining the kernel as "sheltered preparation in anticipation of proceedings" and implementing governed transformation protocols) would make the functional rule's protection demonstrable, not merely doctrinal. A person preparing for litigation could demonstrate not only that they intended their work to be confidential but that the confidentiality was structurally preserved through cryptographic lineage, fidelity verification gates, and recursion testing.</w:t>
      </w:r>
      <w:r>
        <w:rPr>
          <w:rStyle w:val="FootnoteReference"/>
        </w:rPr>
        <w:footnoteReference w:id="79"/>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80"/>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 and that the functional rule proposed here is designed to take advantage of that possibility as it matures.</w:t>
      </w:r>
    </w:p>
    <w:p>
      <w:r>
        <w:pict>
          <v:rect style="width:0;height:1.5pt" o:hralign="center" o:hrstd="t" o:hr="t"/>
        </w:pict>
      </w:r>
    </w:p>
    <w:bookmarkEnd w:id="82"/>
    <w:bookmarkStart w:id="83"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 that legal analytical capability tracks professional credential, 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 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3"/>
    <w:bookmarkStart w:id="84"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Times New Roman">
    <w:panose1 w:val="020B0004020202020204"/>
    <w:charset w:val="00"/>
    <w:family w:val="swiss"/>
    <w:pitch w:val="variable"/>
    <w:sig w:usb0="20000287" w:usb1="00000003" w:usb2="00000000" w:usb3="00000000" w:csb0="0000019F" w:csb1="00000000"/>
  </w:font>
  <w:font w:name="Times New Roman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40503050406030204"/>
    <w:charset w:val="00"/>
    <w:family w:val="roman"/>
    <w:pitch w:val="variable"/>
    <w:sig w:usb0="E00002FF" w:usb1="400004FF" w:usb2="00000000" w:usb3="00000000" w:csb0="0000019F" w:csb1="00000000"/>
  </w:font>
  <w:font w:name="Times New Roman">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rPr>
          <w:i/>
          <w:iCs/>
        </w:rPr>
        <w:t xml:space="preserve">Heppner</w:t>
      </w:r>
      <w:r>
        <w:t xml:space="preserve">,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rPr>
          <w:i/>
          <w:iCs/>
        </w:rPr>
        <w:t xml:space="preserve">Warner</w:t>
      </w:r>
      <w:r>
        <w:t xml:space="preserve">,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Hickman v. Taylor, 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rPr>
          <w:i/>
          <w:iCs/>
        </w:rPr>
        <w:t xml:space="preserve">Heppner</w:t>
      </w:r>
      <w:r>
        <w:t xml:space="preserve">, 2026 WL 436479, at *4 (no counsel direction, no protection)</w:t>
      </w:r>
      <w:r>
        <w:t xml:space="preserve"> </w:t>
      </w:r>
      <w:r>
        <w:rPr>
          <w:i/>
          <w:iCs/>
        </w:rPr>
        <w:t xml:space="preserve">with</w:t>
      </w:r>
      <w:r>
        <w:t xml:space="preserve"> </w:t>
      </w:r>
      <w:r>
        <w:rPr>
          <w:i/>
          <w:iCs/>
        </w:rPr>
        <w:t xml:space="preserve">Warner</w:t>
      </w:r>
      <w:r>
        <w:t xml:space="preserve">,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rPr>
          <w:i/>
          <w:iCs/>
        </w:rPr>
        <w:t xml:space="preserve">Heppner</w:t>
      </w:r>
      <w:r>
        <w:t xml:space="preserve">,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w:t>
      </w:r>
      <w:r>
        <w:t xml:space="preserve"> </w:t>
      </w:r>
      <w:r>
        <w:rPr>
          <w:i/>
          <w:iCs/>
        </w:rPr>
        <w:t xml:space="preserve">Griffin</w:t>
      </w:r>
      <w:r>
        <w:t xml:space="preserve">,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rPr>
          <w:i/>
          <w:iCs/>
        </w:rPr>
        <w:t xml:space="preserve">Faretta</w:t>
      </w:r>
      <w:r>
        <w:t xml:space="preserve">, 422 U.S. 806.</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r>
        <w:t xml:space="preserve"> </w:t>
      </w:r>
      <w:r>
        <w:rPr>
          <w:i/>
          <w:iCs/>
        </w:rPr>
        <w:t xml:space="preserve">see also</w:t>
      </w:r>
      <w:r>
        <w:t xml:space="preserve"> </w:t>
      </w:r>
      <w:r>
        <w:t xml:space="preserve">Lucas v. Scharf, 2026 WL 642917 (W.D.N.C. Feb. 25, 2026) (warning pro se litigants that "conversations" with AI tools "are not privileged and may be subject to discovery").</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 "the Fourth Amendment falls out of the picture entirely").</w:t>
      </w:r>
    </w:p>
  </w:footnote>
  <w:footnote w:id="68">
    <w:p>
      <w:pPr>
        <w:pStyle w:val="FootnoteText"/>
      </w:pPr>
      <w:r>
        <w:rPr>
          <w:rStyle w:val="FootnoteReference"/>
        </w:rPr>
        <w:footnoteRef/>
      </w:r>
      <w:r>
        <w:t xml:space="preserve"> </w:t>
      </w:r>
      <w:r>
        <w:t xml:space="preserve">Shih v. Petal Card, Inc., 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70">
    <w:p>
      <w:pPr>
        <w:pStyle w:val="FootnoteText"/>
      </w:pPr>
      <w:r>
        <w:rPr>
          <w:rStyle w:val="FootnoteReference"/>
        </w:rPr>
        <w:footnoteRef/>
      </w:r>
      <w:r>
        <w:t xml:space="preserve"> </w:t>
      </w:r>
      <w:r>
        <w:rPr>
          <w:i/>
          <w:iCs/>
        </w:rPr>
        <w:t xml:space="preserve">See</w:t>
      </w:r>
      <w:r>
        <w:t xml:space="preserve"> </w:t>
      </w:r>
      <w:r>
        <w:rPr>
          <w:i/>
          <w:iCs/>
        </w:rPr>
        <w:t xml:space="preserve">Warner</w:t>
      </w:r>
      <w:r>
        <w:t xml:space="preserve">, 2026 WL 373043, at *4 ("Generative AI programs are tools, not persons.").</w:t>
      </w:r>
    </w:p>
  </w:footnote>
  <w:footnote w:id="71">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 In re Cendant Corp. Sec. Litig., 343 F.3d 658 (3d Cir. 2003) (litigation consultants qualify as non-attorney representatives under the doctrine); United States ex rel. Bibby v. Wells Fargo Bank, N.A., 165 F. Supp. 3d 1319 (N.D. Ga. 2015) (extending protection to non-attorney investigator acting as attorney's agent).</w:t>
      </w:r>
    </w:p>
  </w:footnote>
  <w:footnote w:id="72">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3">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4">
        <w:r>
          <w:rPr>
            <w:rStyle w:val="Hyperlink"/>
          </w:rPr>
          <w:t xml:space="preserve">https://www.marsyslaw.us</w:t>
        </w:r>
      </w:hyperlink>
      <w:r>
        <w:t xml:space="preserve"> </w:t>
      </w:r>
      <w:r>
        <w:t xml:space="preserve">[</w:t>
      </w:r>
      <w:hyperlink r:id="rId75">
        <w:r>
          <w:rPr>
            <w:rStyle w:val="Hyperlink"/>
          </w:rPr>
          <w:t xml:space="preserve">https://perma.cc/4G8H-2WWF</w:t>
        </w:r>
      </w:hyperlink>
      <w:r>
        <w:t xml:space="preserve">]. The model amendment does not include provisions for AI-assisted preparation or work-product protection.</w:t>
      </w:r>
    </w:p>
  </w:footnote>
  <w:footnote w:id="7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8">
        <w:r>
          <w:rPr>
            <w:rStyle w:val="Hyperlink"/>
          </w:rPr>
          <w:t xml:space="preserve">https://doi.org/10.5281/zenodo.18792459</w:t>
        </w:r>
      </w:hyperlink>
      <w:r>
        <w:t xml:space="preserve">.</w:t>
      </w:r>
    </w:p>
  </w:footnote>
  <w:footnote w:id="79">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80">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1">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Times New Roman"/>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Times New Roman"/>
        <a:font script="Hebr" typeface="Times New Roman"/>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Times New Roman"/>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2026-05-02T02:01:06Z</dcterms:created>
  <dcterms:modified xsi:type="dcterms:W3CDTF">2026-05-02T02:01:06Z</dcterms:modified>
</cp:coreProperties>
</file>

<file path=docProps/custom.xml><?xml version="1.0" encoding="utf-8"?>
<Properties xmlns="http://schemas.openxmlformats.org/officeDocument/2006/custom-properties" xmlns:vt="http://schemas.openxmlformats.org/officeDocument/2006/docPropsVTypes"/>
</file>