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whose-legal-thought-stays-protected"/>
    <w:p>
      <w:pPr>
        <w:pStyle w:val="Heading1"/>
      </w:pPr>
      <w:r>
        <w:t xml:space="preserve">Whose Legal Thought Stays Protected?</w:t>
      </w:r>
    </w:p>
    <w:bookmarkStart w:id="9" w:name="Xe3d310e3e26fc26e669ed32072b1d34a7cc54e3"/>
    <w:p>
      <w:pPr>
        <w:pStyle w:val="Heading2"/>
      </w:pPr>
      <w:r>
        <w:t xml:space="preserve">AI, Work Product, and the Civil Rights of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The fracture raises a civil rights problem. As AI becomes a primary tool for legal preparation, access to protected legal reasoning increasingly tracks professional credential and platform tier rather than function. Effective participation in legal proceedings requires the ability to prepare without compelled disclosure, and the uneven protection of AI-assisted work entrenches structural inequality. The most exposed are the people who rely on AI most heavily to exercise legal rights: litigants without counsel and without access to enterprise-grade tools.</w:t>
      </w:r>
    </w:p>
    <w:p>
      <w:pPr>
        <w:pStyle w:val="BodyText"/>
      </w:pPr>
      <w:r>
        <w:t xml:space="preserve">This emerging regime implicates core concerns of civil rights law: equal protection, procedural fairness, and meaningful access to legal institutions. The term carries both senses in this Essay — the constitutional guarantees of equal protection, due process, and access to courts, and the broader tradition of identifying structural arrangements that perpetuate inequality even where formal legal equality exists. The rule that follows is functional: work-product protection should attach to the nature of legal preparation in anticipation of proceedings, not to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question was whether materials a person prepared with the help of a publicly available AI platform — legal research, case analysis, strategic planning — are protected work product, or whether they are discoverable because the AI platform is not an attorney and its terms of service disclaim confidentiality. The answer, it turns out, depends on who the person is. Every transformative technology eventually outruns the doctrinal categories that govern it. AI is doing that now, and the variation it introduces is less a doctrinal failure than a condition the system has not yet built infrastructure for.</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 ("shelter[ing] the mental processes of the attorney, providing a privileged area within which he can analyze and prepare his client's case"), 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Within days of each other,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 "simultaneously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 — the ability to research, analyze, and strategize without surrendering that work to the opposing side — attaches to the nature of the work or to the status of the person doing it. Existing scholarship treats AI as a civil rights threat in employment, housing, and criminal sentencing, but has not yet examined how AI's role in legal preparation itself implicates equal treatment, fair procedure, and access to the courts. What the split reveals is a structural inequality in the distribution of protected legal thought, one that AI has made visible and that civil rights law is positioned to address. At its sharpest edge, the gap leaves crime victims — who are not parties to the criminal proceeding, not represented by the prosecutor, and not entitled to appointed counsel — with no work-product framework for their preparation at all. The core thesis follows: work-product protection is increasingly determined by professional credential and subscription tier rather than by function, and that arrangement conditions the exercise of fundamental rights on status and access.</w:t>
      </w:r>
    </w:p>
    <w:p>
      <w:pPr>
        <w:pStyle w:val="BodyText"/>
      </w:pPr>
      <w:r>
        <w:t xml:space="preserve">The argument tracks that thesis in stages. The next part shows how AI broke the credential-to-capability link the doctrine assumed; the one after that maps the contractual and institutional architecture that has stepped in to do the gatekeeping the credential used to do. From there, the asymmetry sits inside civil rights law, where it implicates equal treatment, procedural fairness, and access to the courts. A functional rule follows, with verification infrastructure — including a recently discovered conservation law — that the rule can rely on. A short conclusion returns to the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Recognized in</w:t>
      </w:r>
      <w:r>
        <w:t xml:space="preserve"> </w:t>
      </w:r>
      <w:r>
        <w:rPr>
          <w:i/>
          <w:iCs/>
        </w:rPr>
        <w:t xml:space="preserve">Hickman v. Taylor</w:t>
      </w:r>
      <w:r>
        <w:t xml:space="preserve"> </w:t>
      </w:r>
      <w:r>
        <w:t xml:space="preserve">and codified in Federal Rule of Civil Procedure 26(b)(3), the doctrine protects "documents and tangible things that are prepared in anticipation of litigation or for trial by or for another party or its representative."</w:t>
      </w:r>
      <w:r>
        <w:rPr>
          <w:rStyle w:val="FootnoteReference"/>
        </w:rPr>
        <w:footnoteReference w:id="19"/>
      </w:r>
      <w:r>
        <w:t xml:space="preserve"> </w:t>
      </w:r>
      <w:r>
        <w:t xml:space="preserve">At its core it shelters the mental impressions, strategies, and legal reasoning developed in anticipation of litigation, not merely the documents in which they are expressed. Tying protection to attorney status had a simple justification: only lawyers could generate the kind of legal analysis the doctrine was designed to shelter. Attorney-quality legal work tracked the professional credential, and extending protection to the attorney's agents — paralegals, investigators, consultants — was a practical extension, not a theoretical challenge, because those agents operated under the attorney's direction. The system was credential-gated because, at the time, the capability was.</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 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conducted under threat of compelled disclosure is not meaningful preparation. If a person researching their legal rights knows that every query, every analysis, every drafted strategy can be demanded by the opposing side — while the opposing side's lawyer prepares in the shelter of work-product protection — the playing field is tilted. Not by the quality of the work, but by the asymmetry of protection.</w:t>
      </w:r>
    </w:p>
    <w:p>
      <w:pPr>
        <w:pStyle w:val="BodyText"/>
      </w:pPr>
      <w:r>
        <w:t xml:space="preserve">The</w:t>
      </w:r>
      <w:r>
        <w:t xml:space="preserve"> </w:t>
      </w:r>
      <w:r>
        <w:rPr>
          <w:i/>
          <w:iCs/>
        </w:rPr>
        <w:t xml:space="preserve">Heppner/Warner</w:t>
      </w:r>
      <w:r>
        <w:t xml:space="preserve"> </w:t>
      </w:r>
      <w:r>
        <w:t xml:space="preserve">split makes this asymmetry concrete. A criminal defendant who used AI independently of counsel lost all protection. A pro se civil plaintiff who used the same kind of AI for the same kind of preparation kept hers. What separated them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Represented parties acting outside that relationship are exposed. Self-represented parties may be sheltered. Crime victims — who are not parties, not represented by the prosecutor, and not self-represented litigants — fall outside the framework entirely.</w:t>
      </w:r>
      <w:r>
        <w:rPr>
          <w:rStyle w:val="FootnoteReference"/>
        </w:rPr>
        <w:footnoteReference w:id="23"/>
      </w:r>
    </w:p>
    <w:p>
      <w:pPr>
        <w:pStyle w:val="BodyText"/>
      </w:pPr>
      <w:r>
        <w:t xml:space="preserve">The doctrinal distinction has a functional consequence. The people most likely to rely on AI for legal preparation are the same people least likely to have its results protected: those who cannot afford counsel, or who fall outside the recognized protection categories. AI has expanded what a non-lawyer can do. It has not expanded what a non-lawyer can do in confidence. The capability is distributed; the shelter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work is now delivered. That infrastructure is where protection actually gets allocated.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 (Claude, ChatGPT, Gemini) 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44"/>
      </w:r>
    </w:p>
    <w:p>
      <w:pPr>
        <w:pStyle w:val="BodyText"/>
      </w:pPr>
      <w:r>
        <w:t xml:space="preserve">In practice, then, and as emerging cases suggest, the line between protected and unprotected AI-assisted legal preparation tracks access tier and user status rather than any demonstrable difference in underlying analytical capability. The distinction is not technological dressed in legal clothing; it is a credentialing product. The signal it sends is:</w:t>
      </w:r>
      <w:r>
        <w:t xml:space="preserve"> </w:t>
      </w:r>
      <w:r>
        <w:rPr>
          <w:i/>
          <w:iCs/>
        </w:rPr>
        <w:t xml:space="preserve">this is attorney work, accessed through attorney channels, therefore the output is protected.</w:t>
      </w:r>
      <w:r>
        <w:t xml:space="preserve"> </w:t>
      </w:r>
      <w:r>
        <w:t xml:space="preserve">The same model, accessed by a non-attorney through the consumer platform, produces output that is not protected — 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here, is that they redistribute who gets to think legally in private.</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A system in which the protection of legal preparation is distributed by private contract rather than by public entitlement conditions the exercise of constitutional rights on market access. That is, at its core, a civil rights problem.</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Not every procedural asymmetry rises to the level of a civil rights concern. The fracture described here does, because the protection at issue (the ability to prepare in confidence) is a precondition to the exercise of rights the Constitution already guarantees. The AI work-product fracture implicates three foundational principles at once — equal treatment, fair procedure, and meaningful access to the courts.</w:t>
      </w:r>
    </w:p>
    <w:bookmarkStart w:id="53" w:name="X350142c6bff366907adb7f34041dd67cc85f17c"/>
    <w:p>
      <w:pPr>
        <w:pStyle w:val="Heading3"/>
      </w:pPr>
      <w:r>
        <w:t xml:space="preserve">A. Equal Protection and Status-Based Distinction</w:t>
      </w:r>
    </w:p>
    <w:p>
      <w:pPr>
        <w:pStyle w:val="FirstParagraph"/>
      </w:pPr>
      <w:r>
        <w:t xml:space="preserve">Two people prepare for litigation. One is a lawyer working through Harvey; the other is a self-represented litigant working through consumer AI. They produce materially comparable legal analysis. The lawyer's work is protected. The self-represented litigant's, under</w:t>
      </w:r>
      <w:r>
        <w:t xml:space="preserve"> </w:t>
      </w:r>
      <w:r>
        <w:rPr>
          <w:i/>
          <w:iCs/>
        </w:rPr>
        <w:t xml:space="preserve">Heppner</w:t>
      </w:r>
      <w:r>
        <w:t xml:space="preserve">'s logic, may not be. What separates them is not the function the work serves or the care with which it was prepared, but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 the precise distributive consequence that civil rights scrutiny exists to address.</w:t>
      </w:r>
      <w:r>
        <w:rPr>
          <w:rStyle w:val="FootnoteReference"/>
        </w:rPr>
        <w:footnoteReference w:id="51"/>
      </w:r>
      <w:r>
        <w:t xml:space="preserve"> </w:t>
      </w:r>
      <w:r>
        <w:t xml:space="preserve">The historical justification for credential-based asymmetry, that lawyers had unique analytical capacity, collapses when the same AI model generates materially comparable analysis for both. When function detaches from credential, a doctrine that ties protection to credential tracks status, not function. A classification that burdens the population least able to afford the alternative is exactly the kind that civil rights scrutiny exists to examine.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that sense, work-product protection stands to adversarial participation as access to transcripts stood to the right of appeal in</w:t>
      </w:r>
      <w:r>
        <w:t xml:space="preserve"> </w:t>
      </w:r>
      <w:r>
        <w:rPr>
          <w:i/>
          <w:iCs/>
        </w:rPr>
        <w:t xml:space="preserve">Griffin v. Illinois</w:t>
      </w:r>
      <w:r>
        <w:t xml:space="preserve">, as access to counsel stood to the right of defense in</w:t>
      </w:r>
      <w:r>
        <w:t xml:space="preserve"> </w:t>
      </w:r>
      <w:r>
        <w:rPr>
          <w:i/>
          <w:iCs/>
        </w:rPr>
        <w:t xml:space="preserve">Gideon v. Wainwright</w:t>
      </w:r>
      <w:r>
        <w:t xml:space="preserve">, and as the right of self-representation stood to the right to present one's own case in</w:t>
      </w:r>
      <w:r>
        <w:t xml:space="preserve"> </w:t>
      </w:r>
      <w:r>
        <w:rPr>
          <w:i/>
          <w:iCs/>
        </w:rPr>
        <w:t xml:space="preserve">Faretta v. California</w:t>
      </w:r>
      <w:r>
        <w:t xml:space="preserve">. Each of those doctrines recognizes that a right is hollow without the conditions that make its exercise possible. The ability to prepare — to think legally in private — is one of those conditions, not an adjunct to them.</w:t>
      </w:r>
      <w:r>
        <w:t xml:space="preserve"> </w:t>
      </w:r>
      <w:r>
        <w:rPr>
          <w:i/>
          <w:iCs/>
        </w:rPr>
        <w:t xml:space="preserve">Griffin</w:t>
      </w:r>
      <w:r>
        <w:t xml:space="preserve">'s principle, that "there can be no equal justice where the kind of trial a man gets depends on the amount of money he has," applies directly when what determines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 (knowing their research, analysis, and strategy cannot be compelled) 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each rest on prior, private preparation.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whose preparation falls in a gap the existing categories never anticipated.</w:t>
      </w:r>
      <w:r>
        <w:rPr>
          <w:rStyle w:val="FootnoteReference"/>
        </w:rPr>
        <w:footnoteReference w:id="63"/>
      </w:r>
      <w:r>
        <w:t xml:space="preserve"> </w:t>
      </w:r>
      <w:r>
        <w:t xml:space="preserve">That gap is structural rather than accidental: victims are not parties, the prosecutor represents the state rather than them, and the Sixth Amendment right to counsel does not attach, so no doctrinal home exists for the work they do to engage with the proceeding. For each of these populations,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 (discriminatory hiring tools, automated benefits denials, proxy discrimination in lending) 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the preparation done in anticipation of litigation or legal proceedings, not to the professional identity of the preparer or the technological channel through which the work is produced. AI-assisted material keeps that protection unless the proponent shows actual adversarially relevant exposure 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 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That objection is misplaced. The functional rule does not shelter AI output as algorithmic product; it shelters the human preparation activity — the prompts, the directional choices, the integration of output into a litigation strategy — that embeds the preparer's mental impressions as surely as a paralegal's research memorandum does. A copyright analogy under</w:t>
      </w:r>
      <w:r>
        <w:t xml:space="preserve"> </w:t>
      </w:r>
      <w:r>
        <w:rPr>
          <w:i/>
          <w:iCs/>
        </w:rPr>
        <w:t xml:space="preserve">Thaler v. Perlmutter</w:t>
      </w:r>
      <w:r>
        <w:t xml:space="preserve"> </w:t>
      </w:r>
      <w:r>
        <w:t xml:space="preserve">falls on the same line. Copyright requires a human author whose creative expression resides in the work;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 the computational inference itself is not such an event.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 regardless of whether they are represented, self-represented, or preparing to participate as a crime victim in a criminal proceeding, 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 For example, targeted amendments to the Crime Victims' Rights Act</w:t>
      </w:r>
      <w:r>
        <w:rPr>
          <w:rStyle w:val="FootnoteReference"/>
        </w:rPr>
        <w:footnoteReference w:id="72"/>
      </w:r>
      <w:r>
        <w:t xml:space="preserve"> </w:t>
      </w:r>
      <w:r>
        <w:t xml:space="preserve">or model provisions for state victims' rights campaigns can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ability to prepare in confidence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 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 (its obligations, prohibitions, permissions, and constraints) 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 (defining the kernel as "sheltered preparation in anticipation of proceedings" and implementing governed transformation protocols) would make the functional rule's protection demonstrable, not merely doctrinal. A person preparing for litigation could demonstrate not only that they intended their work to be confidential but that the confidentiality was structurally preserved 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 architecture does not require opening proprietary models or revealing trade secrets; it certifies the result, not the internals. What it makes possible is the question</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but neither could quite ask: did the protection survive the pipeline?</w:t>
      </w:r>
    </w:p>
    <w:p>
      <w:pPr>
        <w:pStyle w:val="BodyText"/>
      </w:pPr>
      <w:r>
        <w:t xml:space="preserve">Nothing in the proposed rule asks courts to adopt any particular technical architecture. The point is narrower: verifiable preservation of confidentiality and legal meaning is becoming possible, and the functional rule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Civil rights doctrine has always concerned itself with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its factual predicate — that legal analytical capability tracks professional credential — 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sits at an inflection point: courts are narrowing antidiscrimination doctrine, rethinking protected classes, and grappling with technologically mediated harm in every domain. The work-product fracture belongs in that conversation. As AI becomes the primary tool through which unrepresented individuals reach the legal system, civil rights law must answer a new question —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w:panose1 w:val="020B0004020202020204"/>
    <w:charset w:val="00"/>
    <w:family w:val="swiss"/>
    <w:pitch w:val="variable"/>
    <w:sig w:usb0="20000287" w:usb1="00000003" w:usb2="00000000" w:usb3="00000000" w:csb0="0000019F" w:csb1="00000000"/>
  </w:font>
  <w:font w:name="Times New Roman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40503050406030204"/>
    <w:charset w:val="00"/>
    <w:family w:val="roman"/>
    <w:pitch w:val="variable"/>
    <w:sig w:usb0="E00002FF" w:usb1="400004FF" w:usb2="00000000" w:usb3="00000000" w:csb0="0000019F" w:csb1="00000000"/>
  </w:font>
  <w:font w:name="Times New Roman">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rPr>
          <w:i/>
          <w:iCs/>
        </w:rPr>
        <w:t xml:space="preserve">Heppner</w:t>
      </w:r>
      <w:r>
        <w:t xml:space="preserve">,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rPr>
          <w:i/>
          <w:iCs/>
        </w:rPr>
        <w:t xml:space="preserve">Warner</w:t>
      </w:r>
      <w:r>
        <w:t xml:space="preserve">,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rPr>
          <w:i/>
          <w:iCs/>
        </w:rPr>
        <w:t xml:space="preserve">Heppner</w:t>
      </w:r>
      <w:r>
        <w:t xml:space="preserve">, 2026 WL 436479, at *4 (no counsel direction, no protection)</w:t>
      </w:r>
      <w:r>
        <w:t xml:space="preserve"> </w:t>
      </w:r>
      <w:r>
        <w:rPr>
          <w:i/>
          <w:iCs/>
        </w:rPr>
        <w:t xml:space="preserve">with</w:t>
      </w:r>
      <w:r>
        <w:t xml:space="preserve"> </w:t>
      </w:r>
      <w:r>
        <w:rPr>
          <w:i/>
          <w:iCs/>
        </w:rPr>
        <w:t xml:space="preserve">Warner</w:t>
      </w:r>
      <w:r>
        <w:t xml:space="preserve">,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rPr>
          <w:i/>
          <w:iCs/>
        </w:rPr>
        <w:t xml:space="preserve">Heppner</w:t>
      </w:r>
      <w:r>
        <w:t xml:space="preserve">,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w:t>
      </w:r>
      <w:r>
        <w:t xml:space="preserve"> </w:t>
      </w:r>
      <w:r>
        <w:rPr>
          <w:i/>
          <w:iCs/>
        </w:rPr>
        <w:t xml:space="preserve">Griffin</w:t>
      </w:r>
      <w:r>
        <w:t xml:space="preserve">,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rPr>
          <w:i/>
          <w:iCs/>
        </w:rPr>
        <w:t xml:space="preserve">Faretta</w:t>
      </w:r>
      <w:r>
        <w:t xml:space="preserve">, 422 U.S. 806.</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rPr>
          <w:i/>
          <w:iCs/>
        </w:rPr>
        <w:t xml:space="preserve">Warner</w:t>
      </w:r>
      <w:r>
        <w:t xml:space="preserve">,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Times New Roman"/>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Times New Roman"/>
        <a:font script="Hebr" typeface="Times New Roman"/>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Times New Roman"/>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2026-05-02T03:34:05Z</dcterms:created>
  <dcterms:modified xsi:type="dcterms:W3CDTF">2026-05-02T03:34:05Z</dcterms:modified>
</cp:coreProperties>
</file>

<file path=docProps/custom.xml><?xml version="1.0" encoding="utf-8"?>
<Properties xmlns="http://schemas.openxmlformats.org/officeDocument/2006/custom-properties" xmlns:vt="http://schemas.openxmlformats.org/officeDocument/2006/docPropsVTypes"/>
</file>