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Publicly available materials do not establish that enterprise and consumer processing paths are architecturally segregated.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have not yet confronted directly but cannot indefinitely avoid, particularly where the distinction systematically disadvantages those without access to counsel or protected channels of preparation.</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5"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69"/>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0"/>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1"/>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2"/>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5"/>
    <w:bookmarkStart w:id="81"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6"/>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8"/>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79"/>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1"/>
    <w:bookmarkStart w:id="82"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2"/>
    <w:bookmarkStart w:id="83"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t xml:space="preserve">422 U.S. 806 (1975).</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(2018) (by analogy, holding that diminished privacy interests in information shared with a third party do not categorically defeat constitutional protection).</w:t>
      </w:r>
    </w:p>
  </w:footnote>
  <w:footnote w:id="68">
    <w:p>
      <w:pPr>
        <w:pStyle w:val="FootnoteText"/>
      </w:pPr>
      <w:r>
        <w:rPr>
          <w:rStyle w:val="FootnoteReference"/>
        </w:rPr>
        <w:footnoteRef/>
      </w:r>
      <w:r>
        <w:t xml:space="preserve"> </w:t>
      </w:r>
      <w:r>
        <w:t xml:space="preserve">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0">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w:t>
      </w:r>
    </w:p>
  </w:footnote>
  <w:footnote w:id="71">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2">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3">
        <w:r>
          <w:rPr>
            <w:rStyle w:val="Hyperlink"/>
          </w:rPr>
          <w:t xml:space="preserve">https://www.marsyslaw.us</w:t>
        </w:r>
      </w:hyperlink>
      <w:r>
        <w:t xml:space="preserve"> </w:t>
      </w:r>
      <w:r>
        <w:t xml:space="preserve">[</w:t>
      </w:r>
      <w:hyperlink r:id="rId74">
        <w:r>
          <w:rPr>
            <w:rStyle w:val="Hyperlink"/>
          </w:rPr>
          <w:t xml:space="preserve">https://perma.cc/4G8H-2WWF</w:t>
        </w:r>
      </w:hyperlink>
      <w:r>
        <w:t xml:space="preserve">]. The model amendment does not include provisions for AI-assisted preparation or work-product protection.</w:t>
      </w:r>
    </w:p>
  </w:footnote>
  <w:footnote w:id="76">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7">
        <w:r>
          <w:rPr>
            <w:rStyle w:val="Hyperlink"/>
          </w:rPr>
          <w:t xml:space="preserve">https://doi.org/10.5281/zenodo.18792459</w:t>
        </w:r>
      </w:hyperlink>
      <w:r>
        <w:t xml:space="preserve">.</w:t>
      </w:r>
    </w:p>
  </w:footnote>
  <w:footnote w:id="78">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79">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0">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7" Target="https://doi.org/10.5281/zenodo.18792459" TargetMode="External" /><Relationship Type="http://schemas.openxmlformats.org/officeDocument/2006/relationships/hyperlink" Id="rId80"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4"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3"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2026-05-01T23:02:41Z</dcterms:created>
  <dcterms:modified xsi:type="dcterms:W3CDTF">2026-05-01T23:02:41Z</dcterms:modified>
</cp:coreProperties>
</file>

<file path=docProps/custom.xml><?xml version="1.0" encoding="utf-8"?>
<Properties xmlns="http://schemas.openxmlformats.org/officeDocument/2006/custom-properties" xmlns:vt="http://schemas.openxmlformats.org/officeDocument/2006/docPropsVTypes"/>
</file>