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have not yet confronted directly but cannot indefinitely avoid, particularly where the distinction systematically disadvantages those without access to counsel or protected channels of preparation.</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5"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69"/>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0"/>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1"/>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2"/>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5"/>
    <w:bookmarkStart w:id="81"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6"/>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8"/>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79"/>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1"/>
    <w:bookmarkStart w:id="82"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2"/>
    <w:bookmarkStart w:id="83"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(2018) (by analogy, holding that diminished privacy interests in information shared with a third party do not categorically defeat constitutional protection);</w:t>
      </w:r>
      <w:r>
        <w:t xml:space="preserve"> </w:t>
      </w:r>
      <w:r>
        <w:rPr>
          <w:i/>
          <w:iCs/>
        </w:rPr>
        <w:t xml:space="preserve">see also</w:t>
      </w:r>
      <w:r>
        <w:t xml:space="preserve"> </w:t>
      </w:r>
      <w:r>
        <w:t xml:space="preserve">Nichol v. City of Springfield, No. 6:14-cv-01983-AA (D. Or. 2015) (extending work-product protection under Rule 26(b)(3) to materials prepared by a non-attorney for a party in anticipation of litigation).</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0">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r>
        <w:t xml:space="preserve"> </w:t>
      </w:r>
      <w:r>
        <w:rPr>
          <w:i/>
          <w:iCs/>
        </w:rPr>
        <w:t xml:space="preserve">Nichol</w:t>
      </w:r>
      <w:r>
        <w:t xml:space="preserve">, No. 6:14-cv-01983-AA (same for materials prepared by a non-attorney).</w:t>
      </w:r>
    </w:p>
  </w:footnote>
  <w:footnote w:id="71">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2">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3">
        <w:r>
          <w:rPr>
            <w:rStyle w:val="Hyperlink"/>
          </w:rPr>
          <w:t xml:space="preserve">https://www.marsyslaw.us</w:t>
        </w:r>
      </w:hyperlink>
      <w:r>
        <w:t xml:space="preserve"> </w:t>
      </w:r>
      <w:r>
        <w:t xml:space="preserve">[</w:t>
      </w:r>
      <w:hyperlink r:id="rId74">
        <w:r>
          <w:rPr>
            <w:rStyle w:val="Hyperlink"/>
          </w:rPr>
          <w:t xml:space="preserve">https://perma.cc/4G8H-2WWF</w:t>
        </w:r>
      </w:hyperlink>
      <w:r>
        <w:t xml:space="preserve">]. The model amendment does not include provisions for AI-assisted preparation or work-product protection.</w:t>
      </w:r>
    </w:p>
  </w:footnote>
  <w:footnote w:id="76">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7">
        <w:r>
          <w:rPr>
            <w:rStyle w:val="Hyperlink"/>
          </w:rPr>
          <w:t xml:space="preserve">https://doi.org/10.5281/zenodo.18792459</w:t>
        </w:r>
      </w:hyperlink>
      <w:r>
        <w:t xml:space="preserve">.</w:t>
      </w:r>
    </w:p>
  </w:footnote>
  <w:footnote w:id="78">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79">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0">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2026-05-01T22:56:24Z</dcterms:created>
  <dcterms:modified xsi:type="dcterms:W3CDTF">2026-05-01T22:56:24Z</dcterms:modified>
</cp:coreProperties>
</file>

<file path=docProps/custom.xml><?xml version="1.0" encoding="utf-8"?>
<Properties xmlns="http://schemas.openxmlformats.org/officeDocument/2006/custom-properties" xmlns:vt="http://schemas.openxmlformats.org/officeDocument/2006/docPropsVTypes"/>
</file>