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processes—whether defending against criminal charges, seeking redress, or navigating administrative systems—requires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platform—legal research, case analysis, strategic planning—are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doctrine—"shelter[ing] the mental processes of the attorney, providing a privileged area within which he can analyze and prepare his client's case"—found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preparation—the ability to research, analyze, and strategize without surrendering that work to the opposing side—attaches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victims—who are not parties to the criminal proceeding, not represented by the prosecutor, and not entitled to appointed counsel—with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infrastructure—the technical, contractual, and institutional systems—that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materials—including a recently discovered conservation law—that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agents—paralegals, investigators, consultants—was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side—while the opposing side's lawyer prepares in the shelter of work-product protection—the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victims—who are not parties, not represented by the prosecutor, and not self-represented litigants—no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models—Claude, ChatGPT, Gemini—are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Publicly available materials do not establish that enterprise and consumer processing paths are architecturally segregated.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litigation—one a lawyer through Harvey, the other a self-represented litigant through consumer AI—may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litigants"—the precise distributive consequence that civil rights scrutiny exists to address.</w:t>
      </w:r>
      <w:r>
        <w:rPr>
          <w:rStyle w:val="FootnoteReference"/>
        </w:rPr>
        <w:footnoteReference w:id="51"/>
      </w:r>
      <w:r>
        <w:t xml:space="preserve"> </w:t>
      </w:r>
      <w:r>
        <w:t xml:space="preserve">The historical justification for credential-based asymmetry—that lawyers had unique analytical capacity—collapses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prepare—to think legally in private—is functionally part of the right itself, not an adjunct to it. Griffin's principle—that "there can be no equal justice where the kind of trial a man gets depends on the amount of money he has"—applies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shelter—knowing their research, analysis, and strategy cannot be compelled—and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asymmetries—discriminatory hiring tools, automated benefits denials, proxy discrimination in lending—by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activity—the prompts, the directional choices, the integration of output into a litigation strategy—that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access—not the computational inference itself.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litigation—regardless of whether they are represented, self-represented, or preparing to participate as a crime victim in a criminal proceeding—is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gaps—for example, targeted amendments to the Crime Victims' Rights Act</w:t>
      </w:r>
      <w:r>
        <w:rPr>
          <w:rStyle w:val="FootnoteReference"/>
        </w:rPr>
        <w:footnoteReference w:id="72"/>
      </w:r>
      <w:r>
        <w:t xml:space="preserve"> </w:t>
      </w:r>
      <w:r>
        <w:t xml:space="preserve">or model provisions for state victims' rights campaigns—to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signal—its obligations, prohibitions, permissions, and constraints—is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context—defining the kernel as "sheltered preparation in anticipation of proceedings" and implementing governed transformation protocols—would make the functional rule's protection demonstrable, not merely doctrinal. A person preparing for litigation could demonstrate not only that they intended their work to be confidential but that the confidentiality was structurally preserved—through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doctrine—that legal analytical capability tracks professional credential—has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t xml:space="preserve">Heppner,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t xml:space="preserve">Warner,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t xml:space="preserve">Heppner, 2026 WL 436479, at *4 (no counsel direction, no protection)</w:t>
      </w:r>
      <w:r>
        <w:t xml:space="preserve"> </w:t>
      </w:r>
      <w:r>
        <w:rPr>
          <w:i/>
          <w:iCs/>
        </w:rPr>
        <w:t xml:space="preserve">with</w:t>
      </w:r>
      <w:r>
        <w:t xml:space="preserve"> </w:t>
      </w:r>
      <w:r>
        <w:t xml:space="preserve">Warner,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t xml:space="preserve">Heppner,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 Griffin,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t xml:space="preserve">422 U.S. 806 (1975).</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t xml:space="preserve">Warner,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2026-05-02T01:01:39Z</dcterms:created>
  <dcterms:modified xsi:type="dcterms:W3CDTF">2026-05-02T01:01:39Z</dcterms:modified>
</cp:coreProperties>
</file>

<file path=docProps/custom.xml><?xml version="1.0" encoding="utf-8"?>
<Properties xmlns="http://schemas.openxmlformats.org/officeDocument/2006/custom-properties" xmlns:vt="http://schemas.openxmlformats.org/officeDocument/2006/docPropsVTypes"/>
</file>