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26.0" w:type="dxa"/>
        <w:jc w:val="left"/>
        <w:tblInd w:w="0.0" w:type="dxa"/>
        <w:tblLayout w:type="fixed"/>
        <w:tblLook w:val="0400"/>
      </w:tblPr>
      <w:tblGrid>
        <w:gridCol w:w="1386"/>
        <w:gridCol w:w="8240"/>
        <w:tblGridChange w:id="0">
          <w:tblGrid>
            <w:gridCol w:w="1386"/>
            <w:gridCol w:w="8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descr="Gerb-BMSTU_01" id="10" name="image4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4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3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Министерство науки и высшего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(МГТУ им. Н.Э. Баумана)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pBdr>
          <w:bottom w:color="000000" w:space="1" w:sz="24" w:val="single"/>
        </w:pBdr>
        <w:spacing w:line="240" w:lineRule="auto"/>
        <w:jc w:val="center"/>
        <w:rPr>
          <w:rFonts w:ascii="Times New Roman" w:cs="Times New Roman" w:eastAsia="Times New Roman" w:hAnsi="Times New Roman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36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     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         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ОТЧЕТ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По лабораторной работе №5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Студент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ИУ7-83Б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______________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Сукочева  А.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(Группа)                              (Подпись, дата)                                              (И.О.Фамилия) 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Преподаватель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______________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Барышникова М.Ю.</w:t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</w:t>
        <w:tab/>
        <w:tab/>
        <w:t xml:space="preserve">(Подпись, дата)                                              (И.О.Фамилия) </w:t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Преподаватель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______________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Силантьева А.В.</w:t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</w:t>
        <w:tab/>
        <w:tab/>
        <w:t xml:space="preserve">(Подпись, дата)                                              (И.О.Фамилия) </w:t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  <w:t xml:space="preserve">2022 г.</w:t>
      </w:r>
    </w:p>
    <w:p w:rsidR="00000000" w:rsidDel="00000000" w:rsidP="00000000" w:rsidRDefault="00000000" w:rsidRPr="00000000" w14:paraId="0000002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Сведение о проекте</w:t>
      </w:r>
    </w:p>
    <w:p w:rsidR="00000000" w:rsidDel="00000000" w:rsidP="00000000" w:rsidRDefault="00000000" w:rsidRPr="00000000" w14:paraId="0000002E">
      <w:pPr>
        <w:ind w:firstLine="720"/>
        <w:rPr>
          <w:sz w:val="18"/>
          <w:szCs w:val="18"/>
        </w:rPr>
      </w:pPr>
      <w:r w:rsidDel="00000000" w:rsidR="00000000" w:rsidRPr="00000000">
        <w:rPr>
          <w:sz w:val="24"/>
          <w:szCs w:val="24"/>
          <w:rtl w:val="0"/>
        </w:rPr>
        <w:t xml:space="preserve">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месяцев. Бюджет проекта: 50 000 рублей.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Задаем дату отчета 6 мая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233613" cy="1192174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1192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Текущее состояние проекта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На дату отчёта фактические затраты составили 20 668,58 р. Это примерно 40% от запланированного бюджета. С начала проекта прошло 68 дней (41% времени), проект выполнен на 42% (см. рис ниже).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162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Работа с таблицей освоенного объема </w:t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  <w:t xml:space="preserve">Открываем  таблицу освоенного объема</w:t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71988" cy="235066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35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424238" cy="257597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257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49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956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Метод освоенного объёма основан на трёх величинах.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Запланированный объем (ЗО) — это те средства, которые были затрачены на выполнение задачи в период с начала проекта до выбранной даты отчёта, если бы задача точно соответствовала графику и смете. В нашем проекте ЗО.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Базовая стоимость выполненных работ (БСВР) — это те средства, которые были затрачены на выполнение задачи с самого начала проекта до выбранной даты отчёта, если бы фактически выполненная работа оплачивалась согласно смете, т. е. Это фактическое количество рабочих, оплачиваемых по сметным ставкам. БСВР = 16 693.96 р.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Фактическая стоимость выполненных работ (ФСВР) — это средства, фактически потраченные на выполнение задачи в период с начала проекта до выбранной даты отчёта, т. е. это фактическая стоимость задачи или фактическая ставка, умноженная на фактические часы. ФСВР = 15 812,98 р.</w:t>
      </w:r>
    </w:p>
    <w:p w:rsidR="00000000" w:rsidDel="00000000" w:rsidP="00000000" w:rsidRDefault="00000000" w:rsidRPr="00000000" w14:paraId="00000043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На основании трёх рассмотренных параметров вычисляют вариации затрат: 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Отклонение от календарного плана (ОКП): ОКП = БСВР – ЗО = -5 927,60 р 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Отклонение по стоимости (ОПС): ОПС = БСВР – ФСВР = 880,98  р (экономия средств). 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Индекс отклонения от календарного плана (ИОКП) ИОКП = БСВР / ЗО = 0,74</w:t>
        <w:tab/>
        <w:t xml:space="preserve"> 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Индекс отклонения стоимости (ИОС) ИОС = БСВР / ФСВР = 1,06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Предварительная оценка по завершению (ПОПЗ) ПОПЗ = ФСВП + (Базовые затраты – БСВР) / ИОС = 46 566,97 ₽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Отклонение по завершени(ОПЗ) ОПЗ = БПЗ - ПОПЗ = 2 594,38 ₽ (Отрицательный – имеет место перерасход средств)</w:t>
      </w:r>
    </w:p>
    <w:p w:rsidR="00000000" w:rsidDel="00000000" w:rsidP="00000000" w:rsidRDefault="00000000" w:rsidRPr="00000000" w14:paraId="0000004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Таким образом, по состоянию на 6 мая можно сделать некоторые выводы: 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ОПС &gt; 0 - проект укладывается в смету.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ОКП &lt; 0 - проект не выполняется с опережением (запаздывает)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ОПС &gt; 0 и ИОС &gt; 1 — проект находится в пределах сметы 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ОПЗ &gt; 0 - нет перерасхода средств</w:t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Работа с отчетами проекта</w:t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>
          <w:rtl w:val="0"/>
        </w:rPr>
        <w:t xml:space="preserve">Проанализируем превышения затрат. Для этого зайдем во вкладку “Отчет” -&gt; “Последние” -&gt; “Другие” и выберем “Затраты” -&gt; “Превышение затрат” </w:t>
      </w:r>
    </w:p>
    <w:p w:rsidR="00000000" w:rsidDel="00000000" w:rsidP="00000000" w:rsidRDefault="00000000" w:rsidRPr="00000000" w14:paraId="00000056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72038" cy="2279864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279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ОТКЛОНЕНИЕ ПО СТОИМОСТИ ДЛЯ ЗАДАЧ</w:t>
      </w:r>
    </w:p>
    <w:p w:rsidR="00000000" w:rsidDel="00000000" w:rsidP="00000000" w:rsidRDefault="00000000" w:rsidRPr="00000000" w14:paraId="0000005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24400" cy="3313332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13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33838" cy="4405111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4405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задачи по созданию интерфейса не укладываются в бюджет из-за болезни сотрудника (3d аниматор)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задачи по построению базы объектов экономят бюджет тк был куплен собственный сервер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создание ядра гис и тестирование сайта не укладываются в бюджет из-за увольнения программиста и найма другого работника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Повышение квалификации не укладывается в бюджет, т.к. данная задача требует найма преподавателя, которому нужно платить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ОТКЛОНЕНИЕ ПО СТОИМОСТИ ДЛЯ РЕСУРСОВ</w:t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91163" cy="6010359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6010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3д-аниматор экономит бюджет за счет болезни 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дополнительный сервер экономит бюджет за счет покупки своего сервера 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художник-дизайнер немного превышает бюджет засчет работы во время работы 3даниматора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программисты немного превышают бюджет из-за того, что после прохождения повышения квалификации из зарплата увеличилась на 10% (видно, что все программисты одинаково превышают бюджет) 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Найм преподавателя для программистов превысил бюджет 1400 (т.к. Он работает 2 недели, получаю в неделю 700 р.)</w:t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Анализ вариантов декомпозиции работ в проекте</w:t>
      </w:r>
    </w:p>
    <w:p w:rsidR="00000000" w:rsidDel="00000000" w:rsidP="00000000" w:rsidRDefault="00000000" w:rsidRPr="00000000" w14:paraId="0000006D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082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/>
      </w:pPr>
      <w:r w:rsidDel="00000000" w:rsidR="00000000" w:rsidRPr="00000000">
        <w:rPr>
          <w:rtl w:val="0"/>
        </w:rPr>
        <w:t xml:space="preserve">После декомпозиции начало проекта стало равным 09.08, затраты составили 49 830.</w:t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2.png"/><Relationship Id="rId10" Type="http://schemas.openxmlformats.org/officeDocument/2006/relationships/image" Target="media/image16.png"/><Relationship Id="rId21" Type="http://schemas.openxmlformats.org/officeDocument/2006/relationships/image" Target="media/image11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9.png"/><Relationship Id="rId14" Type="http://schemas.openxmlformats.org/officeDocument/2006/relationships/image" Target="media/image13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4.jpg"/><Relationship Id="rId18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