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BRD - Password Reset Feature</w:t>
      </w:r>
    </w:p>
    <w:p>
      <w:r>
        <w:t>The system shall allow registered users to reset their password via email if they forget it.</w:t>
      </w:r>
    </w:p>
    <w:p>
      <w:pPr>
        <w:pStyle w:val="Heading2"/>
      </w:pPr>
      <w:r>
        <w:t>Requirements</w:t>
      </w:r>
    </w:p>
    <w:p>
      <w:r>
        <w:t>1. User can request a password reset from the login page.</w:t>
      </w:r>
    </w:p>
    <w:p>
      <w:r>
        <w:t>2. System sends a reset link to the registered email within 1 minute.</w:t>
      </w:r>
    </w:p>
    <w:p>
      <w:r>
        <w:t>3. Reset links expire after 30 minutes.</w:t>
      </w:r>
    </w:p>
    <w:p>
      <w:r>
        <w:t>4. Users must set a new password meeting complexity rules (min 8 chars, 1 number, 1 symbol).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