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4"/>
        </w:rPr>
        <w:t>TTA 표준화 규정 용어·조직 FAQ</w:t>
      </w:r>
    </w:p>
    <w:p>
      <w:r>
        <w:rPr>
          <w:rFonts w:ascii="맑은 고딕" w:hAnsi="맑은 고딕" w:eastAsia="맑은 고딕"/>
          <w:b w:val="0"/>
          <w:color w:val="444444"/>
          <w:sz w:val="22"/>
        </w:rPr>
        <w:t>전략계획위원회(SPC) · 지식재산권(IPR) — 모든 조문 원문 대조 확정</w:t>
      </w:r>
    </w:p>
    <w:p>
      <w:r>
        <w:rPr>
          <w:rFonts w:ascii="맑은 고딕" w:hAnsi="맑은 고딕" w:eastAsia="맑은 고딕"/>
          <w:b w:val="0"/>
          <w:color w:val="777777"/>
          <w:sz w:val="17"/>
        </w:rPr>
        <w:t>근거: 운영규정 SAG-0029(24)/R24 · 운영요령 SBG-0030(13)/R13 원문</w:t>
      </w:r>
    </w:p>
    <w:p>
      <w:r>
        <w:rPr>
          <w:rFonts w:ascii="맑은 고딕" w:hAnsi="맑은 고딕" w:eastAsia="맑은 고딕"/>
          <w:b w:val="0"/>
          <w:sz w:val="17"/>
        </w:rPr>
        <w:t>※ 이 FAQ의 조문 번호는 원문 PDF에서 직접 확인한 값이다. 특히 "표준 공고 후 이의·지식재산권 폐지"는 운영규정이 아니라 운영요령 제23조임을 유의(운영규정 제23조는 기술위원회 위원 구성).</w:t>
      </w:r>
    </w:p>
    <w:p>
      <w:pPr>
        <w:pStyle w:val="Heading1"/>
      </w:pPr>
      <w:r>
        <w:t>A. 전략계획위원회 (SPC)</w:t>
      </w:r>
    </w:p>
    <w:p>
      <w:pPr>
        <w:pStyle w:val="Heading2"/>
      </w:pPr>
      <w:r>
        <w:t>Q1. SPC란 무엇인가?</w:t>
      </w:r>
    </w:p>
    <w:p>
      <w:r>
        <w:rPr>
          <w:rFonts w:ascii="맑은 고딕" w:hAnsi="맑은 고딕" w:eastAsia="맑은 고딕"/>
          <w:b/>
          <w:sz w:val="20"/>
        </w:rPr>
        <w:t>SPC = 전략계획위원회</w:t>
      </w:r>
      <w:r>
        <w:rPr>
          <w:rFonts w:ascii="맑은 고딕" w:hAnsi="맑은 고딕" w:eastAsia="맑은 고딕"/>
          <w:b w:val="0"/>
          <w:sz w:val="20"/>
        </w:rPr>
        <w:t xml:space="preserve"> (Strategic Planning Committee). 표준화 전략·작성지침·지식재산권 정책 등을 다루는 위원회다.</w:t>
      </w:r>
    </w:p>
    <w:p>
      <w:r>
        <w:rPr>
          <w:rFonts w:ascii="맑은 고딕" w:hAnsi="맑은 고딕" w:eastAsia="맑은 고딕"/>
          <w:b/>
          <w:sz w:val="20"/>
        </w:rPr>
        <w:t xml:space="preserve">⚠️ "SPC"는 규정 원문에 없는 약칭이다. </w:t>
      </w:r>
      <w:r>
        <w:rPr>
          <w:rFonts w:ascii="맑은 고딕" w:hAnsi="맑은 고딕" w:eastAsia="맑은 고딕"/>
          <w:b w:val="0"/>
          <w:sz w:val="20"/>
        </w:rPr>
        <w:t>운영규정·운영요령 어디에도 "SPC"나 영문명이 없다. 공식 명칭은 「전략계획위원회」이며, SPC는 통용 영문 약칭이다.</w:t>
      </w:r>
    </w:p>
    <w:p>
      <w:pPr>
        <w:pStyle w:val="Heading2"/>
      </w:pPr>
      <w:r>
        <w:t>Q2. SPC의 조직상 위치와 구성은?</w:t>
      </w:r>
    </w:p>
    <w:p>
      <w:r>
        <w:rPr>
          <w:rFonts w:ascii="맑은 고딕" w:hAnsi="맑은 고딕" w:eastAsia="맑은 고딕"/>
          <w:b/>
          <w:sz w:val="20"/>
        </w:rPr>
        <w:t xml:space="preserve">위치 — 운영위원회 산하. </w:t>
      </w:r>
      <w:r>
        <w:rPr>
          <w:rFonts w:ascii="맑은 고딕" w:hAnsi="맑은 고딕" w:eastAsia="맑은 고딕"/>
          <w:b w:val="0"/>
          <w:sz w:val="20"/>
        </w:rPr>
        <w:t>운영규정 제20조(조직): "운영위원회는 표준화 관련 업무의 효율적 검토와 추진을 위하여 운영위원회 산하에 전략계획위원회를 둘 수 있다."</w:t>
      </w:r>
    </w:p>
    <w:p>
      <w:r>
        <w:rPr>
          <w:rFonts w:ascii="맑은 고딕" w:hAnsi="맑은 고딕" w:eastAsia="맑은 고딕"/>
          <w:b w:val="0"/>
          <w:sz w:val="20"/>
        </w:rPr>
        <w:t>위계: 표준총회 → 운영위원회 → 전략계획위원회(SPC) → (산하) 전문위원회.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28"/>
        <w:gridCol w:w="6840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 (근거)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위원 구성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 각 기술위원회 장이 소속 위원 중 추천한 각 1명, ② 사업참가자 추천 전문가, ③ 운영위·SPC 의장이 추천하고 회장이 위촉한 자, ④ 회장 위촉 협회직원 (운영규정 제20조의2①) — 각 TC 대표가 참여하는 범위원회 전략 조직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의장단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의장·부의장(3명 이내)·간사. 의장·부의장은 위원 중 선출, 임기 2년·연임 가능. 간사는 협회 표준화 담당자 (운영규정 제20조의4)</w:t>
            </w:r>
          </w:p>
        </w:tc>
      </w:tr>
    </w:tbl>
    <w:p/>
    <w:p>
      <w:pPr>
        <w:pStyle w:val="Heading2"/>
      </w:pPr>
      <w:r>
        <w:t>Q3. SPC의 임무는? (운영규정 제20조의3)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008"/>
        <w:gridCol w:w="7560"/>
      </w:tblGrid>
      <w:tr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No.</w:t>
            </w:r>
          </w:p>
        </w:tc>
        <w:tc>
          <w:tcPr>
            <w:tcW w:type="dxa" w:w="756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임무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①1</w:t>
            </w:r>
          </w:p>
        </w:tc>
        <w:tc>
          <w:tcPr>
            <w:tcW w:type="dxa" w:w="75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기술위원회등 표준화전략 검토 및 정보통신표준화위원회 표준화전략 수립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①2</w:t>
            </w:r>
          </w:p>
        </w:tc>
        <w:tc>
          <w:tcPr>
            <w:tcW w:type="dxa" w:w="75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중기(3개년) 과제계획안 검토 및 수립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①3</w:t>
            </w:r>
          </w:p>
        </w:tc>
        <w:tc>
          <w:tcPr>
            <w:tcW w:type="dxa" w:w="75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정보통신표준화에 이용자 의견 반영 절차 수립·검토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①4</w:t>
            </w:r>
          </w:p>
        </w:tc>
        <w:tc>
          <w:tcPr>
            <w:tcW w:type="dxa" w:w="75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정보통신표준화위원회의 지식재산권(IPR) 관련 정책 수립·검토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①5</w:t>
            </w:r>
          </w:p>
        </w:tc>
        <w:tc>
          <w:tcPr>
            <w:tcW w:type="dxa" w:w="75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전략계획위원회 활동결과의 운영위원회 보고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①6</w:t>
            </w:r>
          </w:p>
        </w:tc>
        <w:tc>
          <w:tcPr>
            <w:tcW w:type="dxa" w:w="75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정보통신단체표준 작성지침 수립·검토  ← 안건 ②(작성지침 개정)의 소관 근거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①7</w:t>
            </w:r>
          </w:p>
        </w:tc>
        <w:tc>
          <w:tcPr>
            <w:tcW w:type="dxa" w:w="75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그 밖에 운영위원회에서 지정한 업무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75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제1항 임무 수행을 위해 필요시 산하에 전문위원회를 둘 수 있음  ← 안건 ③(AI-Ready 전문위원회)의 근거</w:t>
            </w:r>
          </w:p>
        </w:tc>
      </w:tr>
    </w:tbl>
    <w:p/>
    <w:p>
      <w:pPr>
        <w:pStyle w:val="Heading2"/>
      </w:pPr>
      <w:r>
        <w:t>Q4. 8/10에 SPC와 무엇을 논의하나? (AI-Ready 3안건)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024"/>
        <w:gridCol w:w="2736"/>
        <w:gridCol w:w="2808"/>
      </w:tblGrid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안건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소관</w:t>
            </w:r>
          </w:p>
        </w:tc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SPC와의 관계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 작성지침(TTAR-09.0040) 개정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전략계획위원회 (운영규정 제20조의3(임무)①6)</w:t>
            </w:r>
          </w:p>
        </w:tc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SPC 소관 — 논의 핵심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③ AI-Ready 전문위원회 설치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SPC 산하 (운영규정 제20조의3(임무)②)</w:t>
            </w:r>
          </w:p>
        </w:tc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SPC가 두는 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 운영요령 개정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운영위원회 (운영규정 제57조(운영요령))</w:t>
            </w:r>
          </w:p>
        </w:tc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SPC는 운영위 산하라 연계되나 의결은 운영위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유의. </w:t>
      </w:r>
      <w:r>
        <w:rPr>
          <w:rFonts w:ascii="맑은 고딕" w:hAnsi="맑은 고딕" w:eastAsia="맑은 고딕"/>
          <w:b w:val="0"/>
          <w:sz w:val="18"/>
        </w:rPr>
        <w:t>작성지침(기술보고서) 개정은 운영규정 제47조제1항에 따라 제35~39조(의견수렴 4주 이상 포함)를 준용하되 기술위원회등이 최종 채택한다(표준총회 불요). 즉 안건 ②는 8/10 당일 확정이 아니라 의견수렴 절차를 거친다.</w:t>
      </w:r>
    </w:p>
    <w:p>
      <w:pPr>
        <w:pStyle w:val="Heading1"/>
      </w:pPr>
      <w:r>
        <w:t>B. 지식재산권 (IPR)</w:t>
      </w:r>
    </w:p>
    <w:p>
      <w:pPr>
        <w:pStyle w:val="Heading2"/>
      </w:pPr>
      <w:r>
        <w:t>Q5. IPR이란 무엇인가?</w:t>
      </w:r>
    </w:p>
    <w:p>
      <w:r>
        <w:rPr>
          <w:rFonts w:ascii="맑은 고딕" w:hAnsi="맑은 고딕" w:eastAsia="맑은 고딕"/>
          <w:b/>
          <w:sz w:val="20"/>
        </w:rPr>
        <w:t>IPR = Intellectual Property Rights = 지식재산권</w:t>
      </w:r>
      <w:r>
        <w:rPr>
          <w:rFonts w:ascii="맑은 고딕" w:hAnsi="맑은 고딕" w:eastAsia="맑은 고딕"/>
          <w:b w:val="0"/>
          <w:sz w:val="20"/>
        </w:rPr>
        <w:t xml:space="preserve"> (특허·저작권 등).</w:t>
      </w:r>
    </w:p>
    <w:p>
      <w:r>
        <w:rPr>
          <w:rFonts w:ascii="맑은 고딕" w:hAnsi="맑은 고딕" w:eastAsia="맑은 고딕"/>
          <w:b/>
          <w:sz w:val="20"/>
        </w:rPr>
        <w:t xml:space="preserve">규정 근거. </w:t>
      </w:r>
      <w:r>
        <w:rPr>
          <w:rFonts w:ascii="맑은 고딕" w:hAnsi="맑은 고딕" w:eastAsia="맑은 고딕"/>
          <w:b w:val="0"/>
          <w:sz w:val="20"/>
        </w:rPr>
        <w:t>운영요령 제2조제2항이 「정보통신표준화 관련 지식재산권 취급요령」을 "IPR요령"으로 약칭한다 — 즉 규정 스스로 IPR ↔ 지식재산권을 연결한다.</w:t>
      </w:r>
    </w:p>
    <w:p>
      <w:r>
        <w:rPr>
          <w:rFonts w:ascii="맑은 고딕" w:hAnsi="맑은 고딕" w:eastAsia="맑은 고딕"/>
          <w:b/>
          <w:sz w:val="20"/>
        </w:rPr>
        <w:t xml:space="preserve">왜 중요한가. </w:t>
      </w:r>
      <w:r>
        <w:rPr>
          <w:rFonts w:ascii="맑은 고딕" w:hAnsi="맑은 고딕" w:eastAsia="맑은 고딕"/>
          <w:b w:val="0"/>
          <w:sz w:val="20"/>
        </w:rPr>
        <w:t>표준에 특정 회사의 특허가 포함되는 일이 흔하다. 그 특허를 남들이 공정·합리·비차별 조건으로 쓸 수 있어야 표준이 제 기능을 하므로, TTA는 이를 별도의 IPR요령과 규정 절차로 규율한다.</w:t>
      </w:r>
    </w:p>
    <w:p>
      <w:pPr>
        <w:pStyle w:val="Heading2"/>
      </w:pPr>
      <w:r>
        <w:t>Q6. TTA는 IPR을 어떻게 다루나? (절차·조문 — 원문 확정)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944"/>
        <w:gridCol w:w="4536"/>
        <w:gridCol w:w="2088"/>
      </w:tblGrid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단계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근거 (원문 확정)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제안·채택 시 확인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사무국이 제안 과제의 지식재산권 포함 여부를 제안자 확인 거치고, 과제 채택 후 60일간 홈페이지 공고하여 관련 지식재산권을 확인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운영요령 제14조(지식재산권 확인)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확인 절차도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지식재산권 처리 절차도(별표 2)를 따름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운영요령 제14조② · 별표 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초안 작성 시 확약서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지식재산권이 포함되면 IPR요령 제4조에 따른 "확약서"(지식재산권 취급 확약서)를 권리자가 제출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운영요령 제19조제1항제1호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공고 후 문제 시 폐지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표준 채택 후 지식재산권이 확인된 경우, ① 확약서 미제출 또는 ② 실시허락 거절이면 의견수렴 없이 표준총회에 표준 폐지를 건의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운영요령 제23조제3항 (⚠️운영규정 아님)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정책 수립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SPC가 정보통신표준화위원회의 IPR 관련 정책을 수립·검토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운영규정 제20조의3제1항제4호</w:t>
            </w:r>
          </w:p>
        </w:tc>
      </w:tr>
    </w:tbl>
    <w:p/>
    <w:p>
      <w:pPr>
        <w:pStyle w:val="Heading2"/>
      </w:pPr>
      <w:r>
        <w:t>Q7. IPR·SPC가 AI-Ready와 관련 있나?</w:t>
      </w:r>
    </w:p>
    <w:p>
      <w:r>
        <w:rPr>
          <w:rFonts w:ascii="맑은 고딕" w:hAnsi="맑은 고딕" w:eastAsia="맑은 고딕"/>
          <w:b/>
          <w:sz w:val="20"/>
        </w:rPr>
        <w:t xml:space="preserve">SPC — 직접 관련(핵심). </w:t>
      </w:r>
      <w:r>
        <w:rPr>
          <w:rFonts w:ascii="맑은 고딕" w:hAnsi="맑은 고딕" w:eastAsia="맑은 고딕"/>
          <w:b w:val="0"/>
          <w:sz w:val="20"/>
        </w:rPr>
        <w:t>AI-Ready 규범 개정의 안건 ②(작성지침)·③(전문위원회)를 담당하는 기구다.</w:t>
      </w:r>
    </w:p>
    <w:p>
      <w:r>
        <w:rPr>
          <w:rFonts w:ascii="맑은 고딕" w:hAnsi="맑은 고딕" w:eastAsia="맑은 고딕"/>
          <w:b/>
          <w:sz w:val="20"/>
        </w:rPr>
        <w:t xml:space="preserve">IPR — 직접 관련은 적음. </w:t>
      </w:r>
      <w:r>
        <w:rPr>
          <w:rFonts w:ascii="맑은 고딕" w:hAnsi="맑은 고딕" w:eastAsia="맑은 고딕"/>
          <w:b w:val="0"/>
          <w:sz w:val="20"/>
        </w:rPr>
        <w:t>AI-Ready는 데이터의 기계가독성(의미·구조·품질)을 다루지 특허를 다루지 않는다. IPR은 SPC의 여러 임무 중 하나(운영규정 제20조의3(임무)①4)로 등장하므로 참고 맥락으로 알아두면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A5A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