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분석·샘플 대상 표준 추천 및 선정 사유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AI-Ready 메타데이터 표준화 전략 수립 — 표본 풀(PG606 10종 + 타 PG 28종) 기반</w:t>
      </w:r>
    </w:p>
    <w:p>
      <w:pPr>
        <w:spacing w:after="240"/>
        <w:jc w:val="center"/>
      </w:pPr>
      <w:r>
        <w:rPr>
          <w:b/>
          <w:bCs/>
          <w:color w:val="0FB5A0"/>
          <w:sz w:val="18"/>
          <w:szCs w:val="18"/>
        </w:rPr>
        <w:t xml:space="preserve">★ 표시 = AI-Ready 샘플 재작성 5종</w:t>
      </w:r>
    </w:p>
    <w:p>
      <w:pPr>
        <w:pStyle w:val="Heading1"/>
      </w:pPr>
      <w:r>
        <w:t xml:space="preserve">1. 목적과 선정 원칙</w:t>
      </w:r>
    </w:p>
    <w:p>
      <w:pPr>
        <w:spacing w:after="120" w:line="300"/>
      </w:pPr>
      <w:r>
        <w:t xml:space="preserve">본 문서는 확정된 표본 풀(PG606 10종, 타 PG 28종, 총 38종)을 유형별로 분류하고, 올해 과제의 세 산출물 — AI-Ready 수준 요건, 제정·개정 절차 개선, 그리고 샘플 표준 5종 — 을 ‘근거 있게’ 도출하기 위한 분석 대상과 샘플 재작성 대상을 추천한다.</w:t>
      </w:r>
    </w:p>
    <w:p>
      <w:pPr>
        <w:spacing w:after="120" w:line="300"/>
      </w:pPr>
      <w:r>
        <w:t xml:space="preserve">선정은 다음 다섯 원칙을 따른다.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PG606 중심. </w:t>
      </w:r>
      <w:r>
        <w:t xml:space="preserve">메타데이터 표준의 결을 깊게 보기 위해 분석의 무게중심을 PG606에 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7개 구성요소의 약점 다양성. </w:t>
      </w:r>
      <w:r>
        <w:t xml:space="preserve">어떤 표준은 시맨틱이, 어떤 표준은 출처/품질이 비도록 표본을 섞어 수준 요건이 한쪽으로 치우치지 않게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제정 시기·인용 다양성. </w:t>
      </w:r>
      <w:r>
        <w:t xml:space="preserve">구·신 표준과 외부 표준 인용 사례를 섞어 프로세스 진단의 근거를 넓힌다.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트랙 연계. </w:t>
      </w:r>
      <w:r>
        <w:t xml:space="preserve">품질 검증 지침을 포함해 2027 ‘검증 자동생성’ 트랙과 라이선스 분석에 직접 쓰이게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유형 대표성(샘플). </w:t>
      </w:r>
      <w:r>
        <w:t xml:space="preserve">샘플 5종은 서로 다른 표준 유형을 대표하도록 골라 AI-Ready 전환이 유형을 막론하고 가능함을 실증한다.</w:t>
      </w:r>
    </w:p>
    <w:p>
      <w:pPr>
        <w:pStyle w:val="Heading1"/>
      </w:pPr>
      <w:r>
        <w:t xml:space="preserve">2. 표본 풀 개관 (유형별 분포)</w:t>
      </w:r>
    </w:p>
    <w:p>
      <w:pPr>
        <w:spacing w:after="120" w:line="300"/>
      </w:pPr>
      <w:r>
        <w:t xml:space="preserve">38종을 성격별로 나누면 다음과 같다. 메타데이터·데이터 모델·데이터 구조·품질 검증이 AI-Ready 잣대가 잘 성립하는 영역이고, 인터페이스·프로토콜·서비스 계열은 메타데이터 성격이 옅어 후순위 또는 대조군으로 다룬다.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PG606 (RG)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타 PG (TG)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메타데이터 (범용·도메인)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과제 핵심 — AI-Ready 잣대 직접 적용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데이터 모델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관계 그래프화(SOSA 등) 시연 적합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데이터 구조 (센서·구동기)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1530 시범 분석 사례 포함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품질 검증 지침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2027 검증 도구·DQV/SHACL 트랙 연계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신원·자격증명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DID/VC — 부분 관련(식별·출처)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인터페이스·프로토콜·서비스·보안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 성격 옅음 — 후순위/대조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총 38종</w:t>
            </w:r>
          </w:p>
        </w:tc>
      </w:tr>
    </w:tbl>
    <w:p>
      <w:pPr>
        <w:spacing w:after="60" w:line="300"/>
      </w:pPr>
    </w:p>
    <w:p>
      <w:pPr>
        <w:pStyle w:val="Heading1"/>
      </w:pPr>
      <w:r>
        <w:t xml:space="preserve">3. 분석 대상 추천</w:t>
      </w:r>
    </w:p>
    <w:p>
      <w:pPr>
        <w:spacing w:after="120" w:line="300"/>
      </w:pPr>
      <w:r>
        <w:t xml:space="preserve">분석 카드 작성 대상을 3개 Tier로 추천한다. Tier 1·2는 카드를 충실히 작성하고, Tier 3은 ‘AI-Ready 잣대가 어디서 한계에 부딪히는가’를 보기 위한 경량 대조 분석으로 둔다. 순위 열의 1·2·3은 작성 우선순위다.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50"/>
        <w:gridCol w:w="1300"/>
        <w:gridCol w:w="2826"/>
        <w:gridCol w:w="65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표준번호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명칭(약칭)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선정 사유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순위</w:t>
            </w:r>
          </w:p>
        </w:tc>
      </w:tr>
      <w:tr>
        <w:tc>
          <w:tcPr>
            <w:tcW w:type="dxa" w:w="9026"/>
            <w:gridSpan w:val="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Tier 1 — 핵심 분석 (PG606 메타데이터·AI 학습데이터)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TTAK.KO-10.0976</w:t>
            </w:r>
            <w:r>
              <w:rPr>
                <w:b/>
                <w:bCs/>
                <w:color w:val="0FB5A0"/>
                <w:sz w:val="16"/>
                <w:szCs w:val="16"/>
              </w:rPr>
              <w:t xml:space="preserve">  ★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연구데이터 관리·공유 메타데이터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메타데이터(범용)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범용 연구데이터 메타데이터의 기준 표준 — DCAT/DataCite/PROV 매핑 모범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TTAK.KO-10.1594</w:t>
            </w:r>
            <w:r>
              <w:rPr>
                <w:b/>
                <w:bCs/>
                <w:color w:val="0FB5A0"/>
                <w:sz w:val="16"/>
                <w:szCs w:val="16"/>
              </w:rPr>
              <w:t xml:space="preserve">  ★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AI 모델 학습 데이터세트 메타데이터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메타데이터(AI)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과제 주제 정중앙 — Croissant/DCAT 매핑, 상호운용성 평가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TTAK.KO-10.1595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AI 학습용 데이터 구축 공정 기반 메타데이터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메타데이터(AI)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구축 ‘공정’ 중심 → 출처/계보(PROV-O) 성숙도 시험에 최적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TTAK.KO-10.1533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농업 AI 학습 데이터 플랫폼 메타데이터 스키마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메타데이터(AI)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스키마형·대형(88p) — 데이터 모델/품질 층 평가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TTAK.KO-10.1598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무기체계 센서데이터 관리 메타데이터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메타데이터(센서)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센서 ‘메타데이터’ vs 1530 센서 ‘구조’ 대조 분석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TTAK.KO-10.1571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철강산업 기업간 제조데이터 공유 메타데이터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메타데이터(산업)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최대 분량(196p)·산업 데이터 공유 — 접근/사용 제약 층 평가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26"/>
            <w:gridSpan w:val="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Tier 1 — 핵심 분석 (타 PG 데이터 모델·구조·어휘)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TTAK.KO-10.1530</w:t>
            </w:r>
            <w:r>
              <w:rPr>
                <w:b/>
                <w:bCs/>
                <w:color w:val="0FB5A0"/>
                <w:sz w:val="16"/>
                <w:szCs w:val="16"/>
              </w:rPr>
              <w:t xml:space="preserve">  ★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유수식 수산양식 센서 데이터 구조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데이터 구조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시범 분석 완료(성숙도 17%) — 기준점·전후 대비 사례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TTAK.KO-10.1510</w:t>
            </w:r>
            <w:r>
              <w:rPr>
                <w:b/>
                <w:bCs/>
                <w:color w:val="0FB5A0"/>
                <w:sz w:val="16"/>
                <w:szCs w:val="16"/>
              </w:rPr>
              <w:t xml:space="preserve">  ★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디지털 국토정보 공통 데이터 모델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데이터 모델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‘공통 데이터 모델’ 전형 — 관계 그래프화·공간 어휘 시연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TTAK.KO-10.1291-P1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데이터맵 어휘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메타데이터(어휘)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어휘 표준 자체 — 시맨틱/SKOS 정합성 평가에 핵심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TTAE.IT-Y.3603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빅데이터 데이터 카탈로그 메타데이터(개념모델)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메타데이터(카탈로그)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ITU 준용(국제 정합) — DCAT 대비 카탈로그 요건 비교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TTAK.KO-11.0326-P6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디지털 트윈 객체 데이터 모델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데이터 모델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객체 데이터 모델 — 데이터 모델 층 다양성 확보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26"/>
            <w:gridSpan w:val="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Tier 2 — 품질 검증 지침 (검증 도구·DQV/SHACL 트랙 연계)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TTAK.KO-11.0310</w:t>
            </w:r>
            <w:r>
              <w:rPr>
                <w:b/>
                <w:bCs/>
                <w:color w:val="0FB5A0"/>
                <w:sz w:val="16"/>
                <w:szCs w:val="16"/>
              </w:rPr>
              <w:t xml:space="preserve">  ★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자율주행 학습 데이터 품질 검증(정확성·다양성)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품질 검증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JSON형 AI 학습데이터 품질 — DQV/SHACL 자동생성 직결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TTAK.KO-10.1419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한국어 음성·텍스트 의미적 정확성 품질검증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품질 검증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의미 품질 — 시맨틱·품질 층 교차 평가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TTAK.KO-10.1344-P2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비정형 데이터 품질지표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품질 검증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품질지표 체계 — 품질 프로파일 요건 도출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26"/>
            <w:gridSpan w:val="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864"/>
                <w:sz w:val="17"/>
                <w:szCs w:val="17"/>
              </w:rPr>
              <w:t xml:space="preserve">Tier 3 — 대조군 (AI-Ready 잣대 적용 한계 확인, 경량 분석)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TTAK.KO-10.1561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검증가능 크리덴셜 기반 사용자 신원확인 프로파일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신원·자격증명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DID/VC — 식별·출처는 강하나 메타데이터 성격 옅음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TTAK.KO-10.1500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NFT 디지털 콘텐츠 저작권 정보 확인 명세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서비스 명세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접근/사용 제약(저작권) 관점의 대조 사례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</w:tr>
    </w:tbl>
    <w:p>
      <w:pPr>
        <w:spacing w:after="60" w:line="300"/>
      </w:pPr>
    </w:p>
    <w:p>
      <w:pPr>
        <w:spacing w:after="120" w:line="300"/>
      </w:pPr>
      <w:r>
        <w:t xml:space="preserve">표 안의 ★ 표준은 4장에서 설명하는 샘플 재작성 5종이다. 인터페이스·프로토콜 계열(RCS, V2N, UHD 재난경보, 출입통제 API, CCTV 등)은 본 추천에서 제외했다 — 5장에서 사유를 밝힌다.</w:t>
      </w:r>
    </w:p>
    <w:p>
      <w:pPr>
        <w:pStyle w:val="Heading1"/>
      </w:pPr>
      <w:r>
        <w:t xml:space="preserve">4. AI-Ready 샘플 재작성 5종 추천</w:t>
      </w:r>
    </w:p>
    <w:p>
      <w:pPr>
        <w:spacing w:after="120" w:line="300"/>
      </w:pPr>
      <w:r>
        <w:t xml:space="preserve">샘플 5종은 ‘이렇게 쓰면 된다’를 직접 보이는 실증 산출물이자 2027 자동화 도구의 출력 예시다. 따라서 PG606 균형보다 </w:t>
      </w:r>
      <w:r>
        <w:rPr>
          <w:b/>
          <w:bCs/>
        </w:rPr>
        <w:t xml:space="preserve">유형 대표성</w:t>
      </w:r>
      <w:r>
        <w:t xml:space="preserve">을 우선해, 서로 다른 다섯 가지 표준 유형(AI 메타데이터·범용 메타데이터·데이터 구조·데이터 모델·품질 검증)을 한 종씩 고른다. 각 샘플은 요소→어휘 IRI 매핑표, JSON-LD @context, SHACL 제약, 재작성 전후 성숙도 비교의 네 묶음으로 제시한다.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50"/>
        <w:gridCol w:w="1500"/>
        <w:gridCol w:w="3526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표준번호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명칭(약칭)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대표 유형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재작성으로 시연할 것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TTAK.KO-10.1594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AI 모델 학습 데이터세트 메타데이터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메타데이터(AI)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Croissant/DCAT 매핑 + @context — AI 학습데이터 메타데이터의 모범 전환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TTAK.KO-10.0976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연구데이터 관리·공유 메타데이터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메타데이터(범용)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DCAT·DataCite·PROV-O 결합 — 범용 메타데이터의 출처/식별 강화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TTAK.KO-10.1530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유수식 수산양식 센서 데이터 구조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데이터 구조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SOSA/SSN·QUDT 매핑 + SHACL — 데이터 구조형의 전후 성숙도 대비(17%→상승)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TTAK.KO-10.1510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디지털 국토정보 공통 데이터 모델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데이터 모델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관계 그래프화 + 공간 어휘 — 데이터 모델형의 그래프 전환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TTAK.KO-11.0310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자율주행 학습 데이터 품질 검증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품질 검증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DQV + SHACL 자동생성 — 품질 지침을 기계검증 산출물로 전환</w:t>
            </w:r>
          </w:p>
        </w:tc>
      </w:tr>
    </w:tbl>
    <w:p>
      <w:pPr>
        <w:spacing w:after="60" w:line="300"/>
      </w:pPr>
    </w:p>
    <w:p>
      <w:pPr>
        <w:spacing w:after="120" w:line="300"/>
      </w:pPr>
      <w:r>
        <w:t>이 구성은 PG606 2종(0976·1594)과 타 PG 3종(1530·1510·11.0310)으로, 분석 무게중심은 PG606에 두되 샘플은 유형을 최대한 벌려 전환의 일반성을 보인다. 특히 1530은 이미 17% 성숙도로 분석돼 있어 전후 대비가 가장 극적이고, 11.0310은 품질 지침을 DQV·SHACL 산출물로 바꿔 검증 도구 트랙과 바로 이어진다.</w:t>
      </w:r>
    </w:p>
    <w:p>
      <w:pPr>
        <w:pStyle w:val="Heading1"/>
      </w:pPr>
      <w:r>
        <w:t xml:space="preserve">5. 제외·후순위 표준과 사유</w:t>
      </w:r>
    </w:p>
    <w:p>
      <w:pPr>
        <w:spacing w:after="120" w:line="300"/>
      </w:pPr>
      <w:r>
        <w:t xml:space="preserve">다음 계열은 본격 분석에서 제외하거나 대조군(Tier 3)으로만 둔다. 모두 ‘데이터의 의미·구조·품질을 기술하는 메타데이터’라기보다 ‘기능·통신·서비스 절차’를 규정하는 표준이라, AI-Ready 7개 구성요소 잣대를 그대로 대면 점수가 인위적으로 낮게 나와 수준 요건을 왜곡할 수 있기 때문이다.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통신·프로토콜: </w:t>
      </w:r>
      <w:r>
        <w:t xml:space="preserve">RCS 단말-사업자망 연동(06.0410, 212p), 이동통신 기반 V2N 정보연계(06.0580) — 서비스 연동 절차 중심.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방송·경보 서비스: </w:t>
      </w:r>
      <w:r>
        <w:t xml:space="preserve">지상파 UHD 재난경보 구현 가이드(07.0142), 통합경보 공통경보프로토콜(OT-06.0055) — 구현 가이드/프로토콜.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보안·인터페이스: </w:t>
      </w:r>
      <w:r>
        <w:t xml:space="preserve">지능형 CCTV 보안 기록(0904), 이종 물리보안 영상 인터페이스(1453), 바이오인식 출입통제 API(12.0404), 디지털 트윈 레지스트리 인터페이스/커뮤니케이션 어댑터(11.0326-P7/P9) — API·인터페이스 규격.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위치 메시지·서비스 명세: </w:t>
      </w:r>
      <w:r>
        <w:t xml:space="preserve">디지털 트윈 위치·자세 매핑 메시지(1423) — 메시지 포맷 중심.</w:t>
      </w:r>
    </w:p>
    <w:p>
      <w:pPr>
        <w:spacing w:after="120" w:line="300"/>
      </w:pPr>
      <w:r>
        <w:t xml:space="preserve">다만 TTA가 TG 전체 검토를 요청한 만큼, 위 계열도 ‘메타데이터 표준이 아니라는 점’과 그 판단 근거를 분석 보고서에 한 줄씩 명시해 검토 누락이 아님을 남긴다. 신원·자격증명 계열(1561·1415·1502)과 NFT 저작권(1500)은 식별·출처·이용제약 관점에서 부분적으로 관련이 있어 Tier 3 대조군으로 1~2종만 본다.</w:t>
      </w:r>
    </w:p>
    <w:p>
      <w:pPr>
        <w:pStyle w:val="Heading1"/>
      </w:pPr>
      <w:r>
        <w:t xml:space="preserve">6. 다음 단계</w:t>
      </w:r>
    </w:p>
    <w:p>
      <w:pPr>
        <w:spacing w:after="120" w:line="300"/>
      </w:pPr>
      <w:r>
        <w:t xml:space="preserve">이 추천을 확정하면, (1) Tier 1·2 표준에 대해 분석 카드 양식(analysis_card.xlsx)으로 카드 작성을 분담하고, (2) ★ 5종에 대해 매핑표·@context·SHACL 재작성에 착수하며, (3) 카드가 모인 종합 매트릭스에서 공통 공백을 읽어 수준 요건과 절차 TO-BE로 연결한다. 표본 수가 확정되므로 회의자료의 ‘PG606 ○○종 + 타 PG ○○종’ 자리표시자도 이 추천 기준으로 채울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549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2026-06-22T05:07:13.762Z</dcterms:created>
  <dcterms:modified xsi:type="dcterms:W3CDTF">2026-06-22T05:07:13.762Z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