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sz w:val="36"/>
        </w:rPr>
        <w:t>정보통신단체표준 작성지침(TTAR-09.0040) 개정(안)</w:t>
      </w:r>
    </w:p>
    <w:p>
      <w:r>
        <w:rPr>
          <w:rFonts w:ascii="맑은 고딕" w:hAnsi="맑은 고딕" w:eastAsia="맑은 고딕"/>
          <w:b w:val="0"/>
          <w:color w:val="444444"/>
          <w:sz w:val="23"/>
        </w:rPr>
        <w:t>신구조문대비표 — AI-Ready 표준 전환 지원을 위한 조항 신설·보강</w:t>
      </w:r>
    </w:p>
    <w:p>
      <w:r>
        <w:rPr>
          <w:rFonts w:ascii="맑은 고딕" w:hAnsi="맑은 고딕" w:eastAsia="맑은 고딕"/>
          <w:b w:val="0"/>
          <w:color w:val="777777"/>
          <w:sz w:val="18"/>
        </w:rPr>
        <w:t>현행 TTAR-09.0040/R1(2025.5.23. 시행) 기준 · 담당 전략계획위원회(SPC)</w:t>
      </w:r>
    </w:p>
    <w:p>
      <w:pPr>
        <w:pStyle w:val="Heading1"/>
      </w:pPr>
      <w:r>
        <w:t>1. 개정 이유</w:t>
      </w:r>
    </w:p>
    <w:p>
      <w:r>
        <w:rPr>
          <w:rFonts w:ascii="맑은 고딕" w:hAnsi="맑은 고딕" w:eastAsia="맑은 고딕"/>
          <w:b w:val="0"/>
          <w:sz w:val="20"/>
        </w:rPr>
        <w:t>정보통신단체표준을 기계가 읽을 수 있는(AI-Ready) 형태로 작성·전환하기 위한 근거를 작성지침에 마련한다. 「정보통신표준화 운영규정」 제38조제3항은 표준초안 작성을 이 지침에 위임하고 있으므로, 요소 정의·전역 어휘 매핑·기계가독 부속서 등 초안 작성 단계의 요건은 이 지침에 규정하는 것이 타당하다.</w:t>
      </w:r>
    </w:p>
    <w:p>
      <w:r>
        <w:rPr>
          <w:rFonts w:ascii="맑은 고딕" w:hAnsi="맑은 고딕" w:eastAsia="맑은 고딕"/>
          <w:b/>
          <w:sz w:val="20"/>
        </w:rPr>
        <w:t xml:space="preserve">분석 근거. </w:t>
      </w:r>
      <w:r>
        <w:rPr>
          <w:rFonts w:ascii="맑은 고딕" w:hAnsi="맑은 고딕" w:eastAsia="맑은 고딕"/>
          <w:b w:val="0"/>
          <w:sz w:val="20"/>
        </w:rPr>
        <w:t>데이터를 기술하는 표준 20종을 실측한 결과, 성숙도를 가른 것은 도메인이 아니라 작성 방식이었다. 특히 외부 어휘·스키마에 규범적으로 의존하면서 이를 인용 표준에 등재하지 않은 사례가 20종 중 18종(90%)에서 발견됐다. 개별 표준이 아니라 작성 방법의 문제이므로, 표준마다 대응하는 대신 작성지침을 정비하여 해소한다.</w:t>
      </w:r>
    </w:p>
    <w:p>
      <w:pPr>
        <w:pStyle w:val="Heading1"/>
      </w:pPr>
      <w:r>
        <w:t>2. 주요 개정 사항</w:t>
      </w:r>
    </w:p>
    <w:p>
      <w:pPr>
        <w:pStyle w:val="ListBullet"/>
      </w:pPr>
      <w:r>
        <w:rPr>
          <w:rFonts w:ascii="맑은 고딕" w:hAnsi="맑은 고딕" w:eastAsia="맑은 고딕"/>
          <w:b/>
          <w:sz w:val="20"/>
        </w:rPr>
        <w:t xml:space="preserve">① 6.5.3(인용 표준) 보강 — 인용 표준과 참고 문헌을 가르는 기준을 바꾼다. 현행은 “무엇을 인용해 왔는가”(용어 정의·계산식·그림)로 갈랐으나, 개정안은 “그 문서에 규범적으로 의존하는가”로 가른다. 따르지 않으면 이 표준에 적합하다고 할 수 없는 문서는 인용 표준에, 이해를 돕는 정보 제공에 그치는 문서는 참고 문헌에 둔다. 아울러 외부 어휘·스키마를 본문 또는 부속서에서 규범적으로 사용하면 인용 표준에 등재하도록 명확화하고(참고 문헌에만 두는 것은 분류 오류), 저작권 정책상 등재할 수 없는 문서에는 규범적으로 의존하지 않도록 단서를 둔다.</w:t>
      </w:r>
      <w:r>
        <w:rPr>
          <w:rFonts w:ascii="맑은 고딕" w:hAnsi="맑은 고딕" w:eastAsia="맑은 고딕"/>
          <w:b w:val="0"/>
          <w:sz w:val="20"/>
        </w:rPr>
        <w:t/>
      </w:r>
    </w:p>
    <w:p>
      <w:pPr>
        <w:pStyle w:val="ListBullet"/>
      </w:pPr>
      <w:r>
        <w:rPr>
          <w:rFonts w:ascii="맑은 고딕" w:hAnsi="맑은 고딕" w:eastAsia="맑은 고딕"/>
          <w:b/>
          <w:sz w:val="20"/>
        </w:rPr>
        <w:t xml:space="preserve">② 6.5.7(데이터 요소 정의) 신설 — </w:t>
      </w:r>
      <w:r>
        <w:rPr>
          <w:rFonts w:ascii="맑은 고딕" w:hAnsi="맑은 고딕" w:eastAsia="맑은 고딕"/>
          <w:b w:val="0"/>
          <w:sz w:val="20"/>
        </w:rPr>
        <w:t>데이터 요소를 정의하는 표준은 요소를 14개 정규 컬럼(①식별번호~⑬관련출처는 에디터, ⑭어휘 식별자는 공동 에디터)의 표로 작성.</w:t>
      </w:r>
    </w:p>
    <w:p>
      <w:pPr>
        <w:pStyle w:val="ListBullet"/>
      </w:pPr>
      <w:r>
        <w:rPr>
          <w:rFonts w:ascii="맑은 고딕" w:hAnsi="맑은 고딕" w:eastAsia="맑은 고딕"/>
          <w:b/>
          <w:sz w:val="20"/>
        </w:rPr>
        <w:t xml:space="preserve">③ 6.6(부속서) 보강 — 요소 정의표는 본문에 두고, 요소↔전역 어휘 식별자(IRI) 매핑을 JSON-LD @context 부속서로 첨부하도록 경계를 명확히 한다. 공동 에디터가 보강하며 기술규격은 제외한다. 아울러 기계가독 부속서의 번호를 A부터 차례로 부여하도록 하고(ISO/IEC Directives Part 2와 같은 방식), JSON처럼 주석을 넣을 수 없는 형식을 고려해 표기 방법을 파일 목록으로 갈음한다.</w:t>
      </w:r>
      <w:r>
        <w:rPr>
          <w:rFonts w:ascii="맑은 고딕" w:hAnsi="맑은 고딕" w:eastAsia="맑은 고딕"/>
          <w:b w:val="0"/>
          <w:sz w:val="20"/>
        </w:rPr>
        <w:t/>
      </w:r>
    </w:p>
    <w:p>
      <w:pPr>
        <w:pStyle w:val="ListBullet"/>
      </w:pPr>
      <w:r>
        <w:rPr>
          <w:rFonts w:ascii="맑은 고딕" w:hAnsi="맑은 고딕" w:eastAsia="맑은 고딕"/>
          <w:b/>
          <w:sz w:val="20"/>
        </w:rPr>
        <w:t xml:space="preserve">④ 부속서 B(단위·어휘 매핑 지침) 신설(선택) — </w:t>
      </w:r>
      <w:r>
        <w:rPr>
          <w:rFonts w:ascii="맑은 고딕" w:hAnsi="맑은 고딕" w:eastAsia="맑은 고딕"/>
          <w:b w:val="0"/>
          <w:sz w:val="20"/>
        </w:rPr>
        <w:t>전역 어휘 매핑·단위 결합(QUDT/UCUM)·@context 작성 방법.</w:t>
      </w:r>
    </w:p>
    <w:p>
      <w:pPr>
        <w:pStyle w:val="ListBullet"/>
      </w:pPr>
      <w:r>
        <w:rPr>
          <w:rFonts w:ascii="맑은 고딕" w:hAnsi="맑은 고딕" w:eastAsia="맑은 고딕"/>
          <w:b/>
          <w:sz w:val="20"/>
        </w:rPr>
        <w:t xml:space="preserve">⑤ 부록 Ⅱ-4(기술보고서의 이력) — </w:t>
      </w:r>
      <w:r>
        <w:rPr>
          <w:rFonts w:ascii="맑은 고딕" w:hAnsi="맑은 고딕" w:eastAsia="맑은 고딕"/>
          <w:b w:val="0"/>
          <w:sz w:val="20"/>
        </w:rPr>
        <w:t>개정 판(R2) 추가.</w:t>
      </w:r>
    </w:p>
    <w:p>
      <w:pPr>
        <w:pStyle w:val="Heading1"/>
      </w:pPr>
      <w:r>
        <w:t>3. 신구조문대비표</w:t>
      </w:r>
    </w:p>
    <w:p>
      <w:r>
        <w:rPr>
          <w:rFonts w:ascii="맑은 고딕" w:hAnsi="맑은 고딕" w:eastAsia="맑은 고딕"/>
          <w:b w:val="0"/>
          <w:sz w:val="18"/>
        </w:rPr>
        <w:t>굵게 표시한 부분이 신설·추가되는 내용이다.</w:t>
      </w:r>
    </w:p>
    <w:p>
      <w:pPr>
        <w:pStyle w:val="Heading2"/>
      </w:pPr>
      <w:r>
        <w:t>3.1 6.5.3 인용 표준 (보강)</w:t>
      </w:r>
    </w:p>
    <w:tbl>
      <w:tblPr>
        <w:tblStyle w:val="TableGrid"/>
        <w:tblW w:type="auto" w:w="0"/>
        <w:tblLayout w:type="fixed"/>
        <w:tblLook w:firstColumn="1" w:firstRow="1" w:lastColumn="0" w:lastRow="0" w:noHBand="0" w:noVBand="1" w:val="04A0"/>
      </w:tblPr>
      <w:tblGrid>
        <w:gridCol w:w="4320"/>
        <w:gridCol w:w="5040"/>
      </w:tblGrid>
      <w:tr>
        <w:tc>
          <w:tcPr>
            <w:tcW w:type="dxa" w:w="4320"/>
          </w:tcPr>
          <w:p>
            <w:pPr>
              <w:jc w:val="center"/>
            </w:pPr>
            <w:r/>
            <w:r>
              <w:rPr>
                <w:rFonts w:ascii="맑은 고딕" w:hAnsi="맑은 고딕" w:eastAsia="맑은 고딕"/>
                <w:b/>
                <w:sz w:val="19"/>
              </w:rPr>
              <w:t>현 행</w:t>
            </w:r>
          </w:p>
        </w:tc>
        <w:tc>
          <w:tcPr>
            <w:tcW w:type="dxa" w:w="5040"/>
          </w:tcPr>
          <w:p>
            <w:pPr>
              <w:jc w:val="center"/>
            </w:pPr>
            <w:r/>
            <w:r>
              <w:rPr>
                <w:rFonts w:ascii="맑은 고딕" w:hAnsi="맑은 고딕" w:eastAsia="맑은 고딕"/>
                <w:b/>
                <w:sz w:val="19"/>
              </w:rPr>
              <w:t>개정(안)</w:t>
            </w:r>
          </w:p>
        </w:tc>
      </w:tr>
      <w:tr>
        <w:tc>
          <w:tcPr>
            <w:tcW w:type="dxa" w:w="4320"/>
          </w:tcPr>
          <w:p>
            <w:r/>
            <w:r>
              <w:rPr>
                <w:rFonts w:ascii="맑은 고딕" w:hAnsi="맑은 고딕" w:eastAsia="맑은 고딕"/>
                <w:b w:val="0"/>
                <w:sz w:val="18"/>
              </w:rPr>
              <w:t>6.5.3 인용 표준</w:t>
            </w:r>
          </w:p>
          <w:p>
            <w:r>
              <w:rPr>
                <w:rFonts w:ascii="맑은 고딕" w:hAnsi="맑은 고딕" w:eastAsia="맑은 고딕"/>
                <w:b w:val="0"/>
                <w:sz w:val="18"/>
              </w:rPr>
              <w:t>표준의 주요 내용을 구성하기 위해 직접 인용한 표준에 대하여 작성하며, 단순 출처 및 근거 등의 정보를 나타내기 위한 표준 또는 문서는 작성하지 않는다. 용어 정의, 계산식, 그림 등을 인용하는 경우는 부록의 ‘x-4 참고 문헌’에 기재한다.</w:t>
            </w:r>
          </w:p>
          <w:p>
            <w:r>
              <w:rPr>
                <w:rFonts w:ascii="맑은 고딕" w:hAnsi="맑은 고딕" w:eastAsia="맑은 고딕"/>
                <w:b w:val="0"/>
                <w:sz w:val="18"/>
              </w:rPr>
              <w:t>모든 표준을 다 인용할 수 있는 것은 아니므로, 해당 표준화기구나 단체의 저작권 정책을 확인하여야 한다. TTA와 준용 협약을 맺은 기관 중 IEEE와 ETSI는 부속서 A에 정리되어 있으므로 참조한다.</w:t>
            </w:r>
          </w:p>
          <w:p>
            <w:r>
              <w:rPr>
                <w:rFonts w:ascii="맑은 고딕" w:hAnsi="맑은 고딕" w:eastAsia="맑은 고딕"/>
                <w:b w:val="0"/>
                <w:sz w:val="18"/>
              </w:rPr>
              <w:t>(이하 현행 유지)</w:t>
            </w:r>
          </w:p>
        </w:tc>
        <w:tc>
          <w:tcPr>
            <w:tcW w:type="dxa" w:w="5040"/>
          </w:tcPr>
          <w:p>
            <w:r/>
            <w:r>
              <w:rPr>
                <w:rFonts w:ascii="맑은 고딕" w:hAnsi="맑은 고딕" w:eastAsia="맑은 고딕"/>
                <w:b w:val="0"/>
                <w:sz w:val="18"/>
              </w:rPr>
              <w:t>6.5.3 인용 표준</w:t>
            </w:r>
          </w:p>
          <w:p>
            <w:r>
              <w:rPr>
                <w:rFonts w:ascii="맑은 고딕" w:hAnsi="맑은 고딕" w:eastAsia="맑은 고딕"/>
                <w:b w:val="0"/>
                <w:sz w:val="18"/>
              </w:rPr>
              <w:t xml:space="preserve">표준의 주요 내용을 구성하기 위해 직접 인용한 표준에 대하여 작성하며, 단순 출처 및 근거 등의 정보를 나타내기 위한 표준 또는 문서는 작성하지 않는다.</w:t>
            </w:r>
          </w:p>
          <w:p>
            <w:r>
              <w:rPr>
                <w:rFonts w:ascii="맑은 고딕" w:hAnsi="맑은 고딕" w:eastAsia="맑은 고딕"/>
                <w:b/>
                <w:sz w:val="18"/>
              </w:rPr>
              <w:t xml:space="preserve">인용 표준과 참고 문헌은 그 문서에 규범적으로 의존하는지에 따라 구분한다. 그 문서를 따르지 않으면 이 표준에 적합하다고 할 수 없는 경우에는 인용 표준에 등재하고, 이해를 돕기 위한 정보 제공에 그치는 경우에는 부록의 ‘x-4 참고 문헌’에 기재한다.</w:t>
            </w:r>
          </w:p>
          <w:p>
            <w:r>
              <w:rPr>
                <w:rFonts w:ascii="맑은 고딕" w:hAnsi="맑은 고딕" w:eastAsia="맑은 고딕"/>
                <w:b w:val="0"/>
                <w:sz w:val="18"/>
              </w:rPr>
              <w:t xml:space="preserve">용어 정의, 계산식, 그림 등을 </w:t>
            </w:r>
            <w:r>
              <w:rPr>
                <w:rFonts w:ascii="맑은 고딕" w:hAnsi="맑은 고딕" w:eastAsia="맑은 고딕"/>
                <w:b/>
                <w:sz w:val="18"/>
              </w:rPr>
              <w:t xml:space="preserve">정보 제공 목적으로 </w:t>
            </w:r>
            <w:r>
              <w:rPr>
                <w:rFonts w:ascii="맑은 고딕" w:hAnsi="맑은 고딕" w:eastAsia="맑은 고딕"/>
                <w:b w:val="0"/>
                <w:sz w:val="18"/>
              </w:rPr>
              <w:t xml:space="preserve">인용하는 경우는 부록의 ‘x-4 참고 문헌’에 기재한다. </w:t>
            </w:r>
            <w:r>
              <w:rPr>
                <w:rFonts w:ascii="맑은 고딕" w:hAnsi="맑은 고딕" w:eastAsia="맑은 고딕"/>
                <w:b/>
                <w:sz w:val="18"/>
              </w:rPr>
              <w:t xml:space="preserve">다만 외부 문서의 용어 정의·계산식을 규범적으로 채택하는 경우에는 인용 표준에 등재한다.</w:t>
            </w:r>
          </w:p>
          <w:p>
            <w:r>
              <w:rPr>
                <w:rFonts w:ascii="맑은 고딕" w:hAnsi="맑은 고딕" w:eastAsia="맑은 고딕"/>
                <w:b/>
                <w:sz w:val="18"/>
              </w:rPr>
              <w:t>표준이 본문 또는 부속서에서 외부 어휘 또는 스키마(예: W3C DCAT·SKOS·DCMI Terms, W3C XML Schema 데이터 타입, ISO/IEC 표준 등)의 클래스, 속성, 데이터 타입 중 어느 하나 이상을 규범적으로 사용하는 경우에는, 해당 어휘 또는 표준을 인용 표준에 등재한다. 규범적으로 의존하면서 ‘인용 표준 해당없음’으로 기재하거나 참고 문헌에만 두는 것은 인용 표준의 분류 오류이다.</w:t>
            </w:r>
          </w:p>
          <w:p>
            <w:r>
              <w:rPr>
                <w:rFonts w:ascii="맑은 고딕" w:hAnsi="맑은 고딕" w:eastAsia="맑은 고딕"/>
                <w:b w:val="0"/>
                <w:sz w:val="18"/>
              </w:rPr>
              <w:t xml:space="preserve">모든 표준을 다 인용할 수 있는 것은 아니므로, 해당 표준화기구나 단체의 저작권 정책을 확인하여야 한다. </w:t>
            </w:r>
            <w:r>
              <w:rPr>
                <w:rFonts w:ascii="맑은 고딕" w:hAnsi="맑은 고딕" w:eastAsia="맑은 고딕"/>
                <w:b/>
                <w:sz w:val="18"/>
              </w:rPr>
              <w:t xml:space="preserve">저작권 정책상 인용 표준으로 등재할 수 없는 문서에는 규범적으로 의존하지 아니하며, 필요한 요건은 이 표준 안에 직접 규정한다. </w:t>
            </w:r>
            <w:r>
              <w:rPr>
                <w:rFonts w:ascii="맑은 고딕" w:hAnsi="맑은 고딕" w:eastAsia="맑은 고딕"/>
                <w:b w:val="0"/>
                <w:sz w:val="18"/>
              </w:rPr>
              <w:t xml:space="preserve">TTA와 준용 협약을 맺은 기관 중 IEEE와 ETSI는 부속서 A에 정리되어 있으므로 참조한다.</w:t>
            </w:r>
          </w:p>
          <w:p>
            <w:r>
              <w:rPr>
                <w:rFonts w:ascii="맑은 고딕" w:hAnsi="맑은 고딕" w:eastAsia="맑은 고딕"/>
                <w:b w:val="0"/>
                <w:sz w:val="18"/>
              </w:rPr>
              <w:t>(이하 현행 유지)</w:t>
            </w:r>
          </w:p>
        </w:tc>
      </w:tr>
    </w:tbl>
    <w:p/>
    <w:p>
      <w:pPr>
        <w:pStyle w:val="Heading2"/>
      </w:pPr>
      <w:r>
        <w:t>3.2 6.5.7 데이터 요소 정의 (신설)</w:t>
      </w:r>
    </w:p>
    <w:tbl>
      <w:tblPr>
        <w:tblStyle w:val="TableGrid"/>
        <w:tblW w:type="auto" w:w="0"/>
        <w:tblLayout w:type="fixed"/>
        <w:tblLook w:firstColumn="1" w:firstRow="1" w:lastColumn="0" w:lastRow="0" w:noHBand="0" w:noVBand="1" w:val="04A0"/>
      </w:tblPr>
      <w:tblGrid>
        <w:gridCol w:w="3168"/>
        <w:gridCol w:w="6192"/>
      </w:tblGrid>
      <w:tr>
        <w:tc>
          <w:tcPr>
            <w:tcW w:type="dxa" w:w="3168"/>
          </w:tcPr>
          <w:p>
            <w:pPr>
              <w:jc w:val="center"/>
            </w:pPr>
            <w:r/>
            <w:r>
              <w:rPr>
                <w:rFonts w:ascii="맑은 고딕" w:hAnsi="맑은 고딕" w:eastAsia="맑은 고딕"/>
                <w:b/>
                <w:sz w:val="19"/>
              </w:rPr>
              <w:t>현 행</w:t>
            </w:r>
          </w:p>
        </w:tc>
        <w:tc>
          <w:tcPr>
            <w:tcW w:type="dxa" w:w="6192"/>
          </w:tcPr>
          <w:p>
            <w:pPr>
              <w:jc w:val="center"/>
            </w:pPr>
            <w:r/>
            <w:r>
              <w:rPr>
                <w:rFonts w:ascii="맑은 고딕" w:hAnsi="맑은 고딕" w:eastAsia="맑은 고딕"/>
                <w:b/>
                <w:sz w:val="19"/>
              </w:rPr>
              <w:t>개정(안)</w:t>
            </w:r>
          </w:p>
        </w:tc>
      </w:tr>
      <w:tr>
        <w:tc>
          <w:tcPr>
            <w:tcW w:type="dxa" w:w="3168"/>
          </w:tcPr>
          <w:p>
            <w:r/>
            <w:r>
              <w:rPr>
                <w:rFonts w:ascii="맑은 고딕" w:hAnsi="맑은 고딕" w:eastAsia="맑은 고딕"/>
                <w:b w:val="0"/>
                <w:sz w:val="18"/>
              </w:rPr>
              <w:t>(신설)</w:t>
            </w:r>
          </w:p>
          <w:p>
            <w:r>
              <w:rPr>
                <w:rFonts w:ascii="맑은 고딕" w:hAnsi="맑은 고딕" w:eastAsia="맑은 고딕"/>
                <w:b w:val="0"/>
                <w:sz w:val="18"/>
              </w:rPr>
            </w:r>
          </w:p>
          <w:p>
            <w:r>
              <w:rPr>
                <w:rFonts w:ascii="맑은 고딕" w:hAnsi="맑은 고딕" w:eastAsia="맑은 고딕"/>
                <w:b w:val="0"/>
                <w:sz w:val="18"/>
              </w:rPr>
              <w:t>※ 현행 6.5는 6.5.1 본문 일반 사항 ~ 6.5.6 그림과 표·수식까지로 구성되며, 데이터 요소의 정의 방법에 관한 항이 없다.</w:t>
            </w:r>
          </w:p>
        </w:tc>
        <w:tc>
          <w:tcPr>
            <w:tcW w:type="dxa" w:w="6192"/>
          </w:tcPr>
          <w:p>
            <w:r/>
            <w:r>
              <w:rPr>
                <w:rFonts w:ascii="맑은 고딕" w:hAnsi="맑은 고딕" w:eastAsia="맑은 고딕"/>
                <w:b/>
                <w:sz w:val="18"/>
              </w:rPr>
              <w:t>6.5.7 데이터 요소 정의</w:t>
            </w:r>
          </w:p>
          <w:p>
            <w:r>
              <w:rPr>
                <w:rFonts w:ascii="맑은 고딕" w:hAnsi="맑은 고딕" w:eastAsia="맑은 고딕"/>
                <w:b/>
                <w:sz w:val="18"/>
              </w:rPr>
              <w:t>데이터의 요소(항목)를 정의하는 표준은 각 요소를 아래 정규 컬럼을 갖춘 표(이하 “요소 정의표”)로 작성한다. 요소 정의표는 사람이 읽을 수 있도록 작성하며, 기계가독 형식으로의 변환은 6.6에 따른다.</w:t>
            </w:r>
          </w:p>
          <w:p>
            <w:r>
              <w:rPr>
                <w:rFonts w:ascii="맑은 고딕" w:hAnsi="맑은 고딕" w:eastAsia="맑은 고딕"/>
                <w:b/>
                <w:sz w:val="18"/>
              </w:rPr>
              <w:t>가) 표준초안 에디터가 작성하는 컬럼</w:t>
            </w:r>
          </w:p>
          <w:p>
            <w:r>
              <w:rPr>
                <w:rFonts w:ascii="맑은 고딕" w:hAnsi="맑은 고딕" w:eastAsia="맑은 고딕"/>
                <w:b/>
                <w:sz w:val="18"/>
              </w:rPr>
              <w:t>① 식별번호(ID): 요소의 계층 번호. 하위요소는 “2.1”, 그 속성은 “2.1.a” 형식으로 부여한다.</w:t>
            </w:r>
          </w:p>
          <w:p>
            <w:r>
              <w:rPr>
                <w:rFonts w:ascii="맑은 고딕" w:hAnsi="맑은 고딕" w:eastAsia="맑은 고딕"/>
                <w:b/>
                <w:sz w:val="18"/>
              </w:rPr>
              <w:t>② 한글명 / ③ 영문명: 요소의 명칭. 정보통신표준용어를 사용한다.</w:t>
            </w:r>
          </w:p>
          <w:p>
            <w:r>
              <w:rPr>
                <w:rFonts w:ascii="맑은 고딕" w:hAnsi="맑은 고딕" w:eastAsia="맑은 고딕"/>
                <w:b/>
                <w:sz w:val="18"/>
              </w:rPr>
              <w:t>④ 정의: 요소의 의미. 본문에서 해당 정의로 대체될 수 있도록 명사형으로 적는다.</w:t>
            </w:r>
          </w:p>
          <w:p>
            <w:r>
              <w:rPr>
                <w:rFonts w:ascii="맑은 고딕" w:hAnsi="맑은 고딕" w:eastAsia="맑은 고딕"/>
                <w:b/>
                <w:sz w:val="18"/>
              </w:rPr>
              <w:t>⑤ 필수 여부: 필수(M) / 권장(R) / 선택(O)으로 표기하며, 조건부인 경우 그 조건을 명시한다.</w:t>
            </w:r>
          </w:p>
          <w:p>
            <w:r>
              <w:rPr>
                <w:rFonts w:ascii="맑은 고딕" w:hAnsi="맑은 고딕" w:eastAsia="맑은 고딕"/>
                <w:b/>
                <w:sz w:val="18"/>
              </w:rPr>
              <w:t>⑥ 카디널리티: 발생 제약(1, 0-1, 0-n, 1-n).</w:t>
            </w:r>
          </w:p>
          <w:p>
            <w:r>
              <w:rPr>
                <w:rFonts w:ascii="맑은 고딕" w:hAnsi="맑은 고딕" w:eastAsia="맑은 고딕"/>
                <w:b/>
                <w:sz w:val="18"/>
              </w:rPr>
              <w:t>⑦ 데이터 유형: 값의 형태(string·integer·dateTime·anyURI 등). 값이 다른 클래스를 가리키는 경우 그 대상(Range)을 함께 적는다.</w:t>
            </w:r>
          </w:p>
          <w:p>
            <w:r>
              <w:rPr>
                <w:rFonts w:ascii="맑은 고딕" w:hAnsi="맑은 고딕" w:eastAsia="맑은 고딕"/>
                <w:b/>
                <w:sz w:val="18"/>
              </w:rPr>
              <w:t>⑧ 표시상수: 화면·교환 표시용 상수(있는 경우).</w:t>
            </w:r>
          </w:p>
          <w:p>
            <w:r>
              <w:rPr>
                <w:rFonts w:ascii="맑은 고딕" w:hAnsi="맑은 고딕" w:eastAsia="맑은 고딕"/>
                <w:b/>
                <w:sz w:val="18"/>
              </w:rPr>
              <w:t>⑨ 길이: 최소/최대 길이(제약이 있는 경우).</w:t>
            </w:r>
          </w:p>
          <w:p>
            <w:r>
              <w:rPr>
                <w:rFonts w:ascii="맑은 고딕" w:hAnsi="맑은 고딕" w:eastAsia="맑은 고딕"/>
                <w:b/>
                <w:sz w:val="18"/>
              </w:rPr>
              <w:t>⑩ 값 범위 / 허용값: 유효 범위 또는 통제어휘 목록.</w:t>
            </w:r>
          </w:p>
          <w:p>
            <w:r>
              <w:rPr>
                <w:rFonts w:ascii="맑은 고딕" w:hAnsi="맑은 고딕" w:eastAsia="맑은 고딕"/>
                <w:b/>
                <w:sz w:val="18"/>
              </w:rPr>
              <w:t>⑪ 단위: 측정값을 기술하는 요소에 한하여 기재한다. 단위의 전역 식별자 결합은 이 지침의 부속서 B(단위·어휘 매핑 지침)를 참조한다.</w:t>
            </w:r>
          </w:p>
          <w:p>
            <w:r>
              <w:rPr>
                <w:rFonts w:ascii="맑은 고딕" w:hAnsi="맑은 고딕" w:eastAsia="맑은 고딕"/>
                <w:b/>
                <w:sz w:val="18"/>
              </w:rPr>
              <w:t>⑫ 예시: 요소의 예시 값.</w:t>
            </w:r>
          </w:p>
          <w:p>
            <w:r>
              <w:rPr>
                <w:rFonts w:ascii="맑은 고딕" w:hAnsi="맑은 고딕" w:eastAsia="맑은 고딕"/>
                <w:b/>
                <w:sz w:val="18"/>
              </w:rPr>
              <w:t>⑬ 관련 출처: 요소 또는 정의가 참조한 어휘·표준(어휘 식별자 매핑의 근거가 된다).</w:t>
            </w:r>
          </w:p>
          <w:p>
            <w:r>
              <w:rPr>
                <w:rFonts w:ascii="맑은 고딕" w:hAnsi="맑은 고딕" w:eastAsia="맑은 고딕"/>
                <w:b/>
                <w:sz w:val="18"/>
              </w:rPr>
              <w:t>나) 공동 에디터가 6.6에 따라 보강하는 컬럼</w:t>
            </w:r>
          </w:p>
          <w:p>
            <w:r>
              <w:rPr>
                <w:rFonts w:ascii="맑은 고딕" w:hAnsi="맑은 고딕" w:eastAsia="맑은 고딕"/>
                <w:b/>
                <w:sz w:val="18"/>
              </w:rPr>
              <w:t>⑭ 어휘 식별자(IRI): 요소의 의미를 나타내는 전역 어휘의 식별자(예: dct:creator). IRI란 개념에 부여된 전 세계 공용 식별자를 말한다.</w:t>
            </w:r>
          </w:p>
          <w:p>
            <w:r>
              <w:rPr>
                <w:rFonts w:ascii="맑은 고딕" w:hAnsi="맑은 고딕" w:eastAsia="맑은 고딕"/>
                <w:b/>
                <w:sz w:val="18"/>
              </w:rPr>
              <w:t>표준초안 에디터는 가)의 컬럼(①~⑬)까지 작성한다. 나)의 어휘 식별자 매핑(⑭)과 6.6의 부속서 작성은 「정보통신표준화 운영요령」 제19조의2에 따라 지정된 공동 에디터가 보강한다.</w:t>
            </w:r>
          </w:p>
        </w:tc>
      </w:tr>
    </w:tbl>
    <w:p/>
    <w:p>
      <w:pPr>
        <w:pStyle w:val="Heading2"/>
      </w:pPr>
      <w:r>
        <w:t>3.3 6.6 부속서 (보강)</w:t>
      </w:r>
    </w:p>
    <w:tbl>
      <w:tblPr>
        <w:tblStyle w:val="TableGrid"/>
        <w:tblW w:type="auto" w:w="0"/>
        <w:tblLayout w:type="fixed"/>
        <w:tblLook w:firstColumn="1" w:firstRow="1" w:lastColumn="0" w:lastRow="0" w:noHBand="0" w:noVBand="1" w:val="04A0"/>
      </w:tblPr>
      <w:tblGrid>
        <w:gridCol w:w="4320"/>
        <w:gridCol w:w="5040"/>
      </w:tblGrid>
      <w:tr>
        <w:tc>
          <w:tcPr>
            <w:tcW w:type="dxa" w:w="4320"/>
          </w:tcPr>
          <w:p>
            <w:pPr>
              <w:jc w:val="center"/>
            </w:pPr>
            <w:r/>
            <w:r>
              <w:rPr>
                <w:rFonts w:ascii="맑은 고딕" w:hAnsi="맑은 고딕" w:eastAsia="맑은 고딕"/>
                <w:b/>
                <w:sz w:val="19"/>
              </w:rPr>
              <w:t>현 행</w:t>
            </w:r>
          </w:p>
        </w:tc>
        <w:tc>
          <w:tcPr>
            <w:tcW w:type="dxa" w:w="5040"/>
          </w:tcPr>
          <w:p>
            <w:pPr>
              <w:jc w:val="center"/>
            </w:pPr>
            <w:r/>
            <w:r>
              <w:rPr>
                <w:rFonts w:ascii="맑은 고딕" w:hAnsi="맑은 고딕" w:eastAsia="맑은 고딕"/>
                <w:b/>
                <w:sz w:val="19"/>
              </w:rPr>
              <w:t>개정(안)</w:t>
            </w:r>
          </w:p>
        </w:tc>
      </w:tr>
      <w:tr>
        <w:tc>
          <w:tcPr>
            <w:tcW w:type="dxa" w:w="4320"/>
          </w:tcPr>
          <w:p>
            <w:r/>
            <w:r>
              <w:rPr>
                <w:rFonts w:ascii="맑은 고딕" w:hAnsi="맑은 고딕" w:eastAsia="맑은 고딕"/>
                <w:b w:val="0"/>
                <w:sz w:val="18"/>
              </w:rPr>
              <w:t>6.6 부속서</w:t>
            </w:r>
          </w:p>
          <w:p>
            <w:r>
              <w:rPr>
                <w:rFonts w:ascii="맑은 고딕" w:hAnsi="맑은 고딕" w:eastAsia="맑은 고딕"/>
                <w:b w:val="0"/>
                <w:sz w:val="18"/>
              </w:rPr>
              <w:t>부속서는 내용으로서는 본래 표준의 본문에 포함시켜도 되는 사항이지만, 표준의 구성상 특별히 추려서 본문에 준하여 정리한 것을 말한다.</w:t>
            </w:r>
          </w:p>
          <w:p>
            <w:r>
              <w:rPr>
                <w:rFonts w:ascii="맑은 고딕" w:hAnsi="맑은 고딕" w:eastAsia="맑은 고딕"/>
                <w:b w:val="0"/>
                <w:sz w:val="18"/>
              </w:rPr>
              <w:t>부속서 제목은 부속서 첫 번째 쪽 중앙 맨 위쪽에 위치하여야 하며, 부속서 번호 밑에 ‘(본 부속서는 표준 내용의 일부임)’을 표기한다.</w:t>
            </w:r>
          </w:p>
          <w:p>
            <w:r>
              <w:rPr>
                <w:rFonts w:ascii="맑은 고딕" w:hAnsi="맑은 고딕" w:eastAsia="맑은 고딕"/>
                <w:b w:val="0"/>
                <w:sz w:val="18"/>
              </w:rPr>
              <w:t>부속서는 A, B, C 순으로 작성하며, 항목 번호 앞에 부속서 번호(알파벳)를 붙인다. …(이하 현행 유지)</w:t>
            </w:r>
          </w:p>
        </w:tc>
        <w:tc>
          <w:tcPr>
            <w:tcW w:type="dxa" w:w="5040"/>
          </w:tcPr>
          <w:p>
            <w:r/>
            <w:r>
              <w:rPr>
                <w:rFonts w:ascii="맑은 고딕" w:hAnsi="맑은 고딕" w:eastAsia="맑은 고딕"/>
                <w:b w:val="0"/>
                <w:sz w:val="18"/>
              </w:rPr>
              <w:t>6.6 부속서</w:t>
            </w:r>
          </w:p>
          <w:p>
            <w:r>
              <w:rPr>
                <w:rFonts w:ascii="맑은 고딕" w:hAnsi="맑은 고딕" w:eastAsia="맑은 고딕"/>
                <w:b w:val="0"/>
                <w:sz w:val="18"/>
              </w:rPr>
              <w:t>부속서는 내용으로서는 본래 표준의 본문에 포함시켜도 되는 사항이지만, 표준의 구성상 특별히 추려서 본문에 준하여 정리한 것을 말한다.</w:t>
            </w:r>
          </w:p>
          <w:p>
            <w:r>
              <w:rPr>
                <w:rFonts w:ascii="맑은 고딕" w:hAnsi="맑은 고딕" w:eastAsia="맑은 고딕"/>
                <w:b w:val="0"/>
                <w:sz w:val="18"/>
              </w:rPr>
              <w:t>부속서 제목은 부속서 첫 번째 쪽 중앙 맨 위쪽에 위치하여야 하며, 부속서 번호 밑에 ‘(본 부속서는 표준 내용의 일부임)’을 표기한다.</w:t>
            </w:r>
          </w:p>
          <w:p>
            <w:r>
              <w:rPr>
                <w:rFonts w:ascii="맑은 고딕" w:hAnsi="맑은 고딕" w:eastAsia="맑은 고딕"/>
                <w:b w:val="0"/>
                <w:sz w:val="18"/>
              </w:rPr>
              <w:t>부속서는 A, B, C 순으로 작성하며, 항목 번호 앞에 부속서 번호(알파벳)를 붙인다. …(이하 현행 유지)</w:t>
            </w:r>
          </w:p>
          <w:p>
            <w:r>
              <w:rPr>
                <w:rFonts w:ascii="맑은 고딕" w:hAnsi="맑은 고딕" w:eastAsia="맑은 고딕"/>
                <w:b/>
                <w:sz w:val="18"/>
              </w:rPr>
              <w:t>데이터 요소를 정의하는 표준의 경우, 요소 정의표(6.5.7)는 본문에 둔다. 요소와 전역 어휘 식별자(IRI)의 매핑은 그 표에서 파생하여 JSON-LD @context 형식으로 직렬화하고, 별도 부속서로 첨부한다. 이 매핑과 직렬화는 「정보통신표준화 운영요령」 제19조의2(표준초안 에디터)에 따라 지정된 공동 에디터(해당 분야 어휘 전문가)가 보강할 수 있다. 기계가독 형식의 부속서는 파일로 제공하며, 그 번호는 앞의 규정에 따라 A부터 차례로 부여한다. 이 경우 부속서 제목과 ‘(본 부속서는 표준 내용의 일부임)’의 표기는 본문에 부속서 번호, 제목 및 파일명을 적은 목록을 두는 것으로 갈음한다. 다만 주석을 넣을 수 있는 형식(Turtle 등)은 파일 첫머리에 부속서 번호와 제목을 주석으로 표기한다.</w:t>
            </w:r>
          </w:p>
          <w:p>
            <w:r>
              <w:rPr>
                <w:rFonts w:ascii="맑은 고딕" w:hAnsi="맑은 고딕" w:eastAsia="맑은 고딕"/>
                <w:b/>
                <w:sz w:val="18"/>
              </w:rPr>
              <w:t>다만, 앞표지와 원문으로 구성되는 기술규격(5.2 참조)에는 적용하지 아니한다.</w:t>
            </w:r>
          </w:p>
        </w:tc>
      </w:tr>
    </w:tbl>
    <w:p/>
    <w:p>
      <w:pPr>
        <w:pStyle w:val="Heading2"/>
      </w:pPr>
      <w:r>
        <w:t>3.4 부속서 B 단위·어휘 매핑 지침 (신설, 선택)</w:t>
      </w:r>
    </w:p>
    <w:p>
      <w:r>
        <w:rPr>
          <w:rFonts w:ascii="맑은 고딕" w:hAnsi="맑은 고딕" w:eastAsia="맑은 고딕"/>
          <w:b w:val="0"/>
          <w:sz w:val="18"/>
        </w:rPr>
        <w:t>현행 부속서 A(표준화기구별 영문 준용 지침)에 이어 부속서 B를 둘 수 있다. 세부 문안은 아래 골격을 따른다.</w:t>
      </w:r>
    </w:p>
    <w:tbl>
      <w:tblPr>
        <w:tblStyle w:val="TableGrid"/>
        <w:tblW w:type="auto" w:w="0"/>
        <w:tblLayout w:type="fixed"/>
        <w:tblLook w:firstColumn="1" w:firstRow="1" w:lastColumn="0" w:lastRow="0" w:noHBand="0" w:noVBand="1" w:val="04A0"/>
      </w:tblPr>
      <w:tblGrid>
        <w:gridCol w:w="4320"/>
        <w:gridCol w:w="5040"/>
      </w:tblGrid>
      <w:tr>
        <w:tc>
          <w:tcPr>
            <w:tcW w:type="dxa" w:w="4320"/>
          </w:tcPr>
          <w:p>
            <w:pPr>
              <w:jc w:val="center"/>
            </w:pPr>
            <w:r/>
            <w:r>
              <w:rPr>
                <w:rFonts w:ascii="맑은 고딕" w:hAnsi="맑은 고딕" w:eastAsia="맑은 고딕"/>
                <w:b/>
                <w:sz w:val="19"/>
              </w:rPr>
              <w:t>현 행</w:t>
            </w:r>
          </w:p>
        </w:tc>
        <w:tc>
          <w:tcPr>
            <w:tcW w:type="dxa" w:w="5040"/>
          </w:tcPr>
          <w:p>
            <w:pPr>
              <w:jc w:val="center"/>
            </w:pPr>
            <w:r/>
            <w:r>
              <w:rPr>
                <w:rFonts w:ascii="맑은 고딕" w:hAnsi="맑은 고딕" w:eastAsia="맑은 고딕"/>
                <w:b/>
                <w:sz w:val="19"/>
              </w:rPr>
              <w:t>개정(안)</w:t>
            </w:r>
          </w:p>
        </w:tc>
      </w:tr>
      <w:tr>
        <w:tc>
          <w:tcPr>
            <w:tcW w:type="dxa" w:w="4320"/>
          </w:tcPr>
          <w:p>
            <w:r/>
            <w:r>
              <w:rPr>
                <w:rFonts w:ascii="맑은 고딕" w:hAnsi="맑은 고딕" w:eastAsia="맑은 고딕"/>
                <w:b w:val="0"/>
                <w:sz w:val="18"/>
              </w:rPr>
              <w:t>(신설)</w:t>
            </w:r>
          </w:p>
        </w:tc>
        <w:tc>
          <w:tcPr>
            <w:tcW w:type="dxa" w:w="5040"/>
          </w:tcPr>
          <w:p>
            <w:r/>
            <w:r>
              <w:rPr>
                <w:rFonts w:ascii="맑은 고딕" w:hAnsi="맑은 고딕" w:eastAsia="맑은 고딕"/>
                <w:b/>
                <w:sz w:val="18"/>
              </w:rPr>
              <w:t>부 속 서 B  단위·어휘 매핑 지침</w:t>
            </w:r>
          </w:p>
          <w:p>
            <w:r>
              <w:rPr>
                <w:rFonts w:ascii="맑은 고딕" w:hAnsi="맑은 고딕" w:eastAsia="맑은 고딕"/>
                <w:b/>
                <w:sz w:val="18"/>
              </w:rPr>
              <w:t>B.1 전역 어휘 매핑 — 요소의 의미를 공용 어휘의 전역 식별자에 대응한다. 공통 요소는 DCMI Terms·DCAT, 개념의 상하·유사 관계는 SKOS를 우선 참조한다.</w:t>
            </w:r>
          </w:p>
          <w:p>
            <w:r>
              <w:rPr>
                <w:rFonts w:ascii="맑은 고딕" w:hAnsi="맑은 고딕" w:eastAsia="맑은 고딕"/>
                <w:b/>
                <w:sz w:val="18"/>
              </w:rPr>
              <w:t>B.2 단위 결합 — 측정값의 단위는 QUDT 단위 식별자(예: unit:MilliGM-PER-L)로 결합하고, 필요 시 UCUM 코드(예: mg.L-1)를 함께 기재한다. UCUM은 지수 표기를 쓰므로 ‘mg/L’이 아니라 ‘mg.L-1’이다.</w:t>
            </w:r>
          </w:p>
          <w:p>
            <w:r>
              <w:rPr>
                <w:rFonts w:ascii="맑은 고딕" w:hAnsi="맑은 고딕" w:eastAsia="맑은 고딕"/>
                <w:b/>
                <w:sz w:val="18"/>
              </w:rPr>
              <w:t>B.3 @context 작성 — 요소 이름을 키로, 전역 어휘 식별자를 값으로 하는 JSON-LD @context를 6.6에 따라 해당 표준의 부속서로 제공한다.</w:t>
            </w:r>
          </w:p>
        </w:tc>
      </w:tr>
    </w:tbl>
    <w:p/>
    <w:p>
      <w:pPr>
        <w:pStyle w:val="Heading2"/>
      </w:pPr>
      <w:r>
        <w:t>3.5 부록 Ⅱ-4 기술보고서의 이력</w:t>
      </w:r>
    </w:p>
    <w:tbl>
      <w:tblPr>
        <w:tblStyle w:val="TableGrid"/>
        <w:tblW w:type="auto" w:w="0"/>
        <w:tblLayout w:type="fixed"/>
        <w:tblLook w:firstColumn="1" w:firstRow="1" w:lastColumn="0" w:lastRow="0" w:noHBand="0" w:noVBand="1" w:val="04A0"/>
      </w:tblPr>
      <w:tblGrid>
        <w:gridCol w:w="3744"/>
        <w:gridCol w:w="5616"/>
      </w:tblGrid>
      <w:tr>
        <w:tc>
          <w:tcPr>
            <w:tcW w:type="dxa" w:w="3744"/>
          </w:tcPr>
          <w:p>
            <w:pPr>
              <w:jc w:val="center"/>
            </w:pPr>
            <w:r/>
            <w:r>
              <w:rPr>
                <w:rFonts w:ascii="맑은 고딕" w:hAnsi="맑은 고딕" w:eastAsia="맑은 고딕"/>
                <w:b/>
                <w:sz w:val="19"/>
              </w:rPr>
              <w:t>현 행</w:t>
            </w:r>
          </w:p>
        </w:tc>
        <w:tc>
          <w:tcPr>
            <w:tcW w:type="dxa" w:w="5616"/>
          </w:tcPr>
          <w:p>
            <w:pPr>
              <w:jc w:val="center"/>
            </w:pPr>
            <w:r/>
            <w:r>
              <w:rPr>
                <w:rFonts w:ascii="맑은 고딕" w:hAnsi="맑은 고딕" w:eastAsia="맑은 고딕"/>
                <w:b/>
                <w:sz w:val="19"/>
              </w:rPr>
              <w:t>개정(안)</w:t>
            </w:r>
          </w:p>
        </w:tc>
      </w:tr>
      <w:tr>
        <w:tc>
          <w:tcPr>
            <w:tcW w:type="dxa" w:w="3744"/>
          </w:tcPr>
          <w:p>
            <w:r/>
            <w:r>
              <w:rPr>
                <w:rFonts w:ascii="맑은 고딕" w:hAnsi="맑은 고딕" w:eastAsia="맑은 고딕"/>
                <w:b w:val="0"/>
                <w:sz w:val="18"/>
              </w:rPr>
              <w:t>제2판 | 2025.05.23. | TTAR-09.0040/R1 | 저작권 및 지식재산권 문구 및 표 양식 등 수정, 부속서 A 추가 | 전략계획위원회(SPC)</w:t>
            </w:r>
          </w:p>
        </w:tc>
        <w:tc>
          <w:tcPr>
            <w:tcW w:type="dxa" w:w="5616"/>
          </w:tcPr>
          <w:p>
            <w:r/>
            <w:r>
              <w:rPr>
                <w:rFonts w:ascii="맑은 고딕" w:hAnsi="맑은 고딕" w:eastAsia="맑은 고딕"/>
                <w:b w:val="0"/>
                <w:sz w:val="18"/>
              </w:rPr>
              <w:t>제2판 | 2025.05.23. | TTAR-09.0040/R1 | 저작권 및 지식재산권 문구 및 표 양식 등 수정, 부속서 A 추가 | 전략계획위원회(SPC)</w:t>
            </w:r>
          </w:p>
          <w:p>
            <w:r>
              <w:rPr>
                <w:rFonts w:ascii="맑은 고딕" w:hAnsi="맑은 고딕" w:eastAsia="맑은 고딕"/>
                <w:b/>
                <w:sz w:val="18"/>
              </w:rPr>
              <w:t>제3판 | (채택일) | TTAR-09.0040/R2 | AI-Ready 데이터 요소 정의·기계가독 부속서 관련 조항 신설(6.5.7, 6.6) 및 인용 표준 보강(6.5.3), 부속서 B 신설 | 전략계획위원회(SPC)</w:t>
            </w:r>
          </w:p>
        </w:tc>
      </w:tr>
    </w:tbl>
    <w:p/>
    <w:p>
      <w:pPr>
        <w:pStyle w:val="Heading1"/>
      </w:pPr>
      <w:r>
        <w:t>4. 규정 정합성 및 유의사항</w:t>
      </w:r>
    </w:p>
    <w:p>
      <w:r>
        <w:rPr>
          <w:rFonts w:ascii="맑은 고딕" w:hAnsi="맑은 고딕" w:eastAsia="맑은 고딕"/>
          <w:b/>
          <w:sz w:val="20"/>
        </w:rPr>
        <w:t xml:space="preserve">가. 개정 주체. </w:t>
      </w:r>
      <w:r>
        <w:rPr>
          <w:rFonts w:ascii="맑은 고딕" w:hAnsi="맑은 고딕" w:eastAsia="맑은 고딕"/>
          <w:b w:val="0"/>
          <w:sz w:val="20"/>
        </w:rPr>
        <w:t>이 지침의 개정은 「정보통신표준화 운영규정」 제20조의3제1항제6호(정보통신단체표준 작성지침 수립 및 검토)에 따라 전략계획위원회(SPC)의 임무에 속한다. 기술보고서이므로 표준총회를 거치지 않고 기술위원회에서 최종 채택한다(운영규정 제47조제1항).</w:t>
      </w:r>
    </w:p>
    <w:p>
      <w:r>
        <w:rPr>
          <w:rFonts w:ascii="맑은 고딕" w:hAnsi="맑은 고딕" w:eastAsia="맑은 고딕"/>
          <w:b/>
          <w:sz w:val="20"/>
        </w:rPr>
        <w:t xml:space="preserve">나. 상정 순서 — 운영요령 개정이 전제. </w:t>
      </w:r>
      <w:r>
        <w:rPr>
          <w:rFonts w:ascii="맑은 고딕" w:hAnsi="맑은 고딕" w:eastAsia="맑은 고딕"/>
          <w:b w:val="0"/>
          <w:sz w:val="20"/>
        </w:rPr>
        <w:t>3.2·3.3의 “공동 에디터”는 「정보통신표준화 운영요령」 제19조의2(복수 에디터 지정)와 운영규정 제29조제1항제2호(특별위원 위촉)에 근거한다. 어휘 전문가를 특별위원으로 위촉해 공동 에디터로 지정하는 근거가 운영요령에 먼저 마련되어야 하므로, 상정은 운영요령 개정(안건①) → 이 지침 개정(안건②) 순으로 한다.</w:t>
      </w:r>
    </w:p>
    <w:p>
      <w:r>
        <w:rPr>
          <w:rFonts w:ascii="맑은 고딕" w:hAnsi="맑은 고딕" w:eastAsia="맑은 고딕"/>
          <w:b/>
          <w:sz w:val="20"/>
        </w:rPr>
        <w:t xml:space="preserve">다. 역할 분담. </w:t>
      </w:r>
      <w:r>
        <w:rPr>
          <w:rFonts w:ascii="맑은 고딕" w:hAnsi="맑은 고딕" w:eastAsia="맑은 고딕"/>
          <w:b w:val="0"/>
          <w:sz w:val="20"/>
        </w:rPr>
        <w:t>6.5.7(본문)은 표준초안 에디터가 요소 정의표와 관련 출처를 작성하는 단계이고, 6.6(부속서)은 공동 에디터(어휘 전문가)가 전역 어휘 식별자 매핑과 @context를 보강하는 단계다. 제안 기관·에디터에게 SHACL·JSON-LD 지식을 요구하지 않는다.</w:t>
      </w:r>
    </w:p>
    <w:p>
      <w:r>
        <w:rPr>
          <w:rFonts w:ascii="맑은 고딕" w:hAnsi="맑은 고딕" w:eastAsia="맑은 고딕"/>
          <w:b/>
          <w:sz w:val="20"/>
        </w:rPr>
        <w:t xml:space="preserve">라. 적용 범위. </w:t>
      </w:r>
      <w:r>
        <w:rPr>
          <w:rFonts w:ascii="맑은 고딕" w:hAnsi="맑은 고딕" w:eastAsia="맑은 고딕"/>
          <w:b w:val="0"/>
          <w:sz w:val="20"/>
        </w:rPr>
        <w:t>요소 정의표·@context 요건은 “데이터 요소를 정의하는 표준”에 적용된다. 데이터 요소를 정의하지 않는 절차·지침 성격의 표준에는 요소 정의표가 성립하지 않으며, 앞표지와 원문으로 구성되는 기술규격은 부속서를 붙일 수 없으므로(5.2) @context 요건에서 제외한다.</w:t>
      </w:r>
    </w:p>
    <w:p>
      <w:r>
        <w:rPr>
          <w:rFonts w:ascii="맑은 고딕" w:hAnsi="맑은 고딕" w:eastAsia="맑은 고딕"/>
          <w:b/>
          <w:sz w:val="20"/>
        </w:rPr>
        <w:t xml:space="preserve">마. 병행 정비(선택). </w:t>
      </w:r>
      <w:r>
        <w:rPr>
          <w:rFonts w:ascii="맑은 고딕" w:hAnsi="맑은 고딕" w:eastAsia="맑은 고딕"/>
          <w:b w:val="0"/>
          <w:sz w:val="20"/>
        </w:rPr>
        <w:t>이번 개정과 무관하나, 5.1 e)의 작성도구 버전(“한글 2010, 워드 2010 이상”)은 차기 정비 시 현행화를 검토한다.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