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color w:val="555555"/>
          <w:sz w:val="25"/>
          <w:szCs w:val="25"/>
        </w:rPr>
        <w:t xml:space="preserve">AI-Ready 메타데이터 관점에서 본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연구데이터 메타데이터 표준 분석 보고서</w:t>
      </w:r>
    </w:p>
    <w:p>
      <w:pPr>
        <w:spacing w:after="40"/>
        <w:jc w:val="center"/>
      </w:pPr>
      <w:r>
        <w:rPr>
          <w:b/>
          <w:bCs/>
          <w:sz w:val="21"/>
          <w:szCs w:val="21"/>
        </w:rPr>
        <w:t xml:space="preserve">연구데이터 관리 및 공유를 위한 메타데이터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TTAK.KO-10.0976 (제정 2017.03.30.) · PG606</w:t>
      </w:r>
    </w:p>
    <w:p>
      <w:pPr>
        <w:spacing w:after="260"/>
        <w:jc w:val="center"/>
      </w:pPr>
      <w:r>
        <w:t>7개 구성요소 프레임워크 기반 상세 분석 · 성숙도 5/12 ≈ 42%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문서는 표준 </w:t>
      </w:r>
      <w:r>
        <w:rPr>
          <w:b/>
          <w:bCs/>
        </w:rPr>
        <w:t xml:space="preserve">TTAK.KO-10.0976</w:t>
      </w:r>
      <w:r>
        <w:t xml:space="preserve">(연구데이터 관리·공유 메타데이터)를 AI-Ready 관점에서 분석한 보고서다. 이 표준은 컬렉션–데이터셋–파일–리포지터리 4계층으로 연구데이터 메타데이터를 정의하며, 요소마다 Dublin Core·DataCite·re3data를 ‘관련 출처’로 들어 의미적으로 잘 정렬돼 있다.</w:t>
      </w:r>
    </w:p>
    <w:p>
      <w:pPr>
        <w:spacing w:after="140" w:line="300"/>
      </w:pPr>
      <w:r>
        <w:t>핵심 진단은 분명하다. 이 표준은 의미 정렬이 이미 좋지만, 그 정렬이 ‘관련 출처’ URL이라는 산문 참조에 머물러 ‘기계가 읽는 바인딩’으로 형식화되지 않았다. 즉 사람은 ‘이 Identifier가 Dublin Core의 그것’임을 알지만, 기계는 모른다. 성숙도는 5/12(약 42%, 운영 시맨틱 비해당)로, 전환의 출발 조건은 좋은 편이다.</w:t>
      </w:r>
      <w:r>
        <w:rPr>
          <w:b/>
          <w:bCs/>
        </w:rPr>
      </w:r>
      <w:r/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0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한 줄 의미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데이터 모델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신태틱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의미·구조를 적는 표준 직렬화 형식(JSON-LD·RDF 등)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운영 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출처/계보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누가·언제·어떤 과정으로 생성·가공됐는지 이력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품질 프로파일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정확도·결측·이상치 등 품질을 형식 어휘로 기술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접근/사용 제약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라이선스·접근 권한·이용 조건을 데이터에 결합</w:t>
            </w:r>
          </w:p>
        </w:tc>
      </w:tr>
    </w:tbl>
    <w:p>
      <w:pPr>
        <w:spacing w:after="80" w:line="300"/>
      </w:pPr>
    </w:p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 xml:space="preserve">AI-Ready 표현의 바탕에는 W3C의 </w:t>
      </w:r>
      <w:r>
        <w:rPr>
          <w:b/>
          <w:bCs/>
        </w:rPr>
        <w:t xml:space="preserve">RDF</w:t>
      </w:r>
      <w:r>
        <w:t xml:space="preserve"> 데이터 모델이 있다. RDF는 모든 사실을 ‘주어–서술어–목적어’ 트리플로 적고, 각 개념을 </w:t>
      </w:r>
      <w:r>
        <w:rPr>
          <w:b/>
          <w:bCs/>
        </w:rPr>
        <w:t xml:space="preserve">IRI</w:t>
      </w:r>
      <w:r>
        <w:t xml:space="preserve">(웹 주소 형태의 고유 이름)로 가리켜 누구나 같은 개념을 같은 주소로 참조하게 한다. 이를 파일로 적는 형식이 직렬화인데, 기존 JSON에 의미를 더하는 </w:t>
      </w:r>
      <w:r>
        <w:rPr>
          <w:b/>
          <w:bCs/>
        </w:rPr>
        <w:t xml:space="preserve">JSON-LD</w:t>
      </w:r>
      <w: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DCAT v3 · Schema.org · SKOS</w:t>
      </w:r>
      <w:r>
        <w:rPr>
          <w:color w:val="777777"/>
          <w:sz w:val="16"/>
          <w:szCs w:val="16"/>
        </w:rPr>
        <w:t xml:space="preserve">  (W3C · community)</w:t>
      </w:r>
    </w:p>
    <w:p>
      <w:pPr>
        <w:spacing w:after="50" w:line="300"/>
      </w:pPr>
      <w:r>
        <w:t xml:space="preserve">DCAT는 데이터셋·배포본을 기술하는 카탈로그 어휘(dct:license·dcat:distribution·dcat:accessService 등), Schema.org는 범용 의미 어휘, SKOS는 통제어·분류체계를 표현하는 어휘다.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PROV-O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데이터의 출처·생성 이력(계보)을 표현하는 표준. prov:wasGeneratedBy·wasAttributedTo·wasDerivedFrom 등으로 ‘무엇이 어떤 활동으로 누구에 의해 생성·파생됐는가’를 그래프로 남긴다.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DQV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 품질을 형식적으로 기술하는 어휘. dqv:Dimension(품질 차원)·dqv:QualityMeasurement(측정값)으로 정확도·완전성·대표성을 데이터에 붙여, 파이프라인이 이상 데이터를 자동으로 거르게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QUDT / UCUM</w:t>
      </w:r>
      <w:r>
        <w:rPr>
          <w:color w:val="777777"/>
          <w:sz w:val="16"/>
          <w:szCs w:val="16"/>
        </w:rPr>
        <w:t xml:space="preserve">  (QUDT.org · Regenstrief)</w:t>
      </w:r>
    </w:p>
    <w:p>
      <w:pPr>
        <w:spacing w:after="50" w:line="300"/>
      </w:pPr>
      <w:r>
        <w:t xml:space="preserve">단위·물리량을 IRI(QUDT) 또는 파싱 가능한 표준 코드(UCUM)로 표현해, 혼재된 단위를 기계가 환산·정규화하게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SHACL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RDF 데이터가 규칙(필수 항목·값 범위·형식·열거값)을 지키는지 자동 검증하는 표준. 측정 범위·M/O 표기·코드 목록이 sh:minInclusive·sh:minCount·sh:in 등으로 그대로 옮겨진다.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Croissant · DataCite(DOI) · re3data</w:t>
      </w:r>
      <w:r>
        <w:rPr>
          <w:color w:val="777777"/>
          <w:sz w:val="16"/>
          <w:szCs w:val="16"/>
        </w:rPr>
        <w:t xml:space="preserve">  (MLCommons · DataCite)</w:t>
      </w:r>
    </w:p>
    <w:p>
      <w:pPr>
        <w:spacing w:after="50" w:line="300"/>
      </w:pPr>
      <w:r>
        <w:t xml:space="preserve">Croissant는 여러 파일을 ‘하나의 ML 데이터셋’으로 묶는 JSON-LD 포장 형식, DataCite(DOI)는 영속 식별자 부여 체계, re3data는 데이터 저장소 레지스트리다.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예시(JSON-LD·SHACL 등)를 덧붙인다.</w:t>
      </w:r>
    </w:p>
    <w:p>
      <w:pPr>
        <w:pStyle w:val="Heading2"/>
      </w:pPr>
      <w:r>
        <w:t xml:space="preserve">3.1 시맨틱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요소가 Dublin Core·DataCite와 정렬돼 있다. 예: Identifier의 관련 출처는 </w:t>
      </w:r>
      <w:r>
        <w:rPr>
          <w:rFonts w:ascii="Consolas" w:cs="Consolas" w:eastAsia="Consolas" w:hAnsi="Consolas"/>
          <w:sz w:val="18"/>
          <w:szCs w:val="18"/>
        </w:rPr>
        <w:t xml:space="preserve">purl.org/dc/elements/1.1/identifier</w:t>
      </w:r>
      <w:r>
        <w:t xml:space="preserve">, Date는 DCMI, Subject는 re3data property다. 그러나 정렬이 ‘관련 출처’란에 URL로 적힌 산문일 뿐, 요소명이 네임스페이스 접두어로 바인딩되지 않는다.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요소를 DCMI·DataCite IRI에 정식 바인딩하고 JSON-LD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로 표현한다. 아래처럼 기존 요소명을 그대로 키로 두고 IRI만 매핑하면 전환 비용이 최소화된다.</w:t>
      </w:r>
    </w:p>
    <w:p>
      <w:pPr>
        <w:pBdr>
          <w:top w:val="single" w:color="D9DEE6" w:sz="4" w:space="5"/>
          <w:left w:val="single" w:color="9DB2C8" w:sz="12" w:space="8"/>
          <w:bottom w:val="single" w:color="D9DEE6" w:sz="4" w:space="5"/>
          <w:right w:val="single" w:color="D9DEE6" w:sz="4" w:space="5"/>
        </w:pBdr>
        <w:shd w:fill="F4F6F9" w:val="clear"/>
        <w:spacing w:after="140" w:before="80" w:line="248"/>
      </w:pPr>
      <w:r>
        <w:rPr>
          <w:rFonts w:ascii="Consolas" w:cs="Consolas" w:eastAsia="Consolas" w:hAnsi="Consolas"/>
          <w:color w:val="1A2433"/>
          <w:sz w:val="16"/>
          <w:szCs w:val="16"/>
        </w:rPr>
        <w:t xml:space="preserve">{ "@context": {</w:t>
        <w:br/>
        <w:t xml:space="preserve">    "Title":      "http://purl.org/dc/terms/title",</w:t>
        <w:br/>
        <w:t xml:space="preserve">    "Identifier": "http://purl.org/dc/terms/identifier",</w:t>
        <w:br/>
        <w:t xml:space="preserve">    "Date":       "http://purl.org/dc/terms/date" },</w:t>
        <w:br/>
        <w:t xml:space="preserve">  "Identifier": "https://doi.org/10.7488/ds/1331",</w:t>
        <w:br/>
        <w:t xml:space="preserve">  "Date": "2016-07-19" }</w:t>
      </w:r>
    </w:p>
    <w:p>
      <w:pPr>
        <w:pStyle w:val="Heading2"/>
      </w:pPr>
      <w:r>
        <w:t>3.2 데이터 모델 (1 · 부분)</w:t>
      </w:r>
    </w:p>
    <w:p>
      <w:pPr>
        <w:spacing w:after="140" w:line="300"/>
      </w:pPr>
      <w:r>
        <w:t>요소 유형(Property·Class·CVP·SEP)·필수여부를 표로 정리하나 값 타입을 검증할 스키마는 없다.</w:t>
      </w:r>
    </w:p>
    <w:p>
      <w:pPr>
        <w:spacing w:after="140" w:line="300"/>
      </w:pPr>
      <w:r>
        <w:t>통제어(CVP)·필수여부·값 제약을 SHACL/XSD로 형식화한다. (4계층 포함 관계는 시맨틱에서 다룬다.)</w:t>
      </w:r>
    </w:p>
    <w:p>
      <w:pPr>
        <w:pStyle w:val="Heading2"/>
      </w:pPr>
      <w:r>
        <w:t xml:space="preserve">3.3 신태틱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6장 곳곳에 Subject 요소의 </w:t>
      </w:r>
      <w:r>
        <w:rPr>
          <w:rFonts w:ascii="Consolas" w:cs="Consolas" w:eastAsia="Consolas" w:hAnsi="Consolas"/>
          <w:sz w:val="18"/>
          <w:szCs w:val="18"/>
        </w:rPr>
        <w:t xml:space="preserve">XML</w:t>
      </w:r>
      <w: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JSON</w:t>
      </w:r>
      <w:r>
        <w:t xml:space="preserve"> 표현 예시가 있어 직렬화 인식은 있으나, 규범 직렬화 형식과 JSON-LD가 정해져 있지 않다.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JSON-LD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와 RDF/Turtle 표현을 규범으로 제공한다. 기존 XML/JSON 예시를 JSON-LD로 승격하면 사람용 예시가 곧 기계용 데이터가 된다.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연구데이터 기술 메타데이터를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Date·DateType(Created/Issued 등)·Publisher·PublicationYear 등 출처성 필드가 있어 ‘언제·누가’의 단편은 기록된다. 다만 이들이 ‘무엇이 무엇으로부터 생성·파생됐는가’의 계보로 엮이지 않는다.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생성·공개 이력을 </w:t>
      </w:r>
      <w:r>
        <w:rPr>
          <w:b/>
          <w:bCs/>
        </w:rPr>
        <w:t xml:space="preserve">PROV-O</w:t>
      </w:r>
      <w:r>
        <w:t xml:space="preserve">로 형식화한다(예: 데이터셋 </w:t>
      </w:r>
      <w:r>
        <w:rPr>
          <w:rFonts w:ascii="Consolas" w:cs="Consolas" w:eastAsia="Consolas" w:hAnsi="Consolas"/>
          <w:sz w:val="18"/>
          <w:szCs w:val="18"/>
        </w:rPr>
        <w:t xml:space="preserve">prov:wasGeneratedBy</w:t>
      </w:r>
      <w:r>
        <w:t xml:space="preserve"> 연구활동, </w:t>
      </w:r>
      <w:r>
        <w:rPr>
          <w:rFonts w:ascii="Consolas" w:cs="Consolas" w:eastAsia="Consolas" w:hAnsi="Consolas"/>
          <w:sz w:val="18"/>
          <w:szCs w:val="18"/>
        </w:rPr>
        <w:t xml:space="preserve">prov:wasAttributedTo</w:t>
      </w:r>
      <w:r>
        <w:t xml:space="preserve"> 생산자).</w:t>
      </w:r>
    </w:p>
    <w:p>
      <w:pPr>
        <w:pStyle w:val="Heading2"/>
      </w:pPr>
      <w:r>
        <w:t xml:space="preserve">3.6 품질 프로파일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데이터 품질(정확도·완전성·결측 등)을 기술하는 요소·어휘가 없다. 7개 구성요소 중 유일한 0이다.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데이터셋·파일 수준에 </w:t>
      </w:r>
      <w:r>
        <w:rPr>
          <w:b/>
          <w:bCs/>
        </w:rPr>
        <w:t xml:space="preserve">DQV</w:t>
      </w:r>
      <w:r>
        <w:t xml:space="preserve"> 품질 차원과 측정값을 추가한다. 연구데이터의 재사용성 판단에 품질 정보는 결정적이므로 우선 보강 대상이다.</w:t>
      </w:r>
    </w:p>
    <w:p>
      <w:pPr>
        <w:pStyle w:val="Heading2"/>
      </w:pPr>
      <w:r>
        <w:t xml:space="preserve">3.7 접근/사용 제약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관련 요소가 여럿 있다. 컬렉션의 </w:t>
      </w:r>
      <w:r>
        <w:rPr>
          <w:rFonts w:ascii="Consolas" w:cs="Consolas" w:eastAsia="Consolas" w:hAnsi="Consolas"/>
          <w:sz w:val="18"/>
          <w:szCs w:val="18"/>
        </w:rPr>
        <w:t xml:space="preserve">Rights</w:t>
      </w:r>
      <w:r>
        <w:t xml:space="preserve">(저작권), 리포지터리의 </w:t>
      </w:r>
      <w:r>
        <w:rPr>
          <w:rFonts w:ascii="Consolas" w:cs="Consolas" w:eastAsia="Consolas" w:hAnsi="Consolas"/>
          <w:sz w:val="18"/>
          <w:szCs w:val="18"/>
        </w:rPr>
        <w:t xml:space="preserve">DataLicenseName</w:t>
      </w:r>
      <w:r>
        <w:t xml:space="preserve">(라이선스 이름, 자유 형식), </w:t>
      </w:r>
      <w:r>
        <w:rPr>
          <w:rFonts w:ascii="Consolas" w:cs="Consolas" w:eastAsia="Consolas" w:hAnsi="Consolas"/>
          <w:sz w:val="18"/>
          <w:szCs w:val="18"/>
        </w:rPr>
        <w:t xml:space="preserve">AccessType</w:t>
      </w:r>
      <w:r>
        <w:t xml:space="preserve">(접근 유형, CVP), 데이터셋의 공개 범위(Embargoed=이용 지연)다. 다만 라이선스가 ‘자유 형식 문자열’이고 접근 정보가 형식 어휘(기계 판독 식별자)로 표현되지 않는다.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DataLicenseName을 SPDX 식별자 + </w:t>
      </w:r>
      <w:r>
        <w:rPr>
          <w:rFonts w:ascii="Consolas" w:cs="Consolas" w:eastAsia="Consolas" w:hAnsi="Consolas"/>
          <w:sz w:val="18"/>
          <w:szCs w:val="18"/>
        </w:rPr>
        <w:t xml:space="preserve">dct:license</w:t>
      </w:r>
      <w:r>
        <w:t xml:space="preserve"> URI로, AccessType을 </w:t>
      </w:r>
      <w:r>
        <w:rPr>
          <w:rFonts w:ascii="Consolas" w:cs="Consolas" w:eastAsia="Consolas" w:hAnsi="Consolas"/>
          <w:sz w:val="18"/>
          <w:szCs w:val="18"/>
        </w:rPr>
        <w:t xml:space="preserve">dct:accessRights</w:t>
      </w:r>
      <w:r>
        <w:t xml:space="preserve">로, 이용 조건을 </w:t>
      </w:r>
      <w:r>
        <w:rPr>
          <w:b/>
          <w:bCs/>
        </w:rPr>
        <w:t xml:space="preserve">ODRL</w:t>
      </w:r>
      <w:r>
        <w:t xml:space="preserve"> 정책으로 표현한다.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기존 4계층 요소 모델은 그대로 두고 그 위에 ‘바인딩 계층’을 더하는 방식을 권고한다. (1) 요소→DCMI/DataCite IRI 매핑표와 JSON-LD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를 부속서로 추가, (2) 4계층을 DCAT 그래프로 표현, (3) 통제어를 SKOS로 승격, (4) 품질(DQV)을 신설한다. 이 표준은 이미 DataCite·re3data를 참조하므로, 식별자는 DOI, 저장소는 re3data 등록으로 영속 식별 체계와 자연스럽게 잇는다.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00"/>
        <w:gridCol w:w="3676"/>
        <w:gridCol w:w="1700"/>
      </w:tblGrid>
      <w:tr>
        <w:trPr>
          <w:tblHeader/>
        </w:trP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연결 표준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핵심 조치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현재 등급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DCMI·DataCite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의미·상하/포함 관계를 어휘 IRI에 바인딩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데이터 모델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XSD·SHACL·JSON Schema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값 유형·제약·반복을 스키마로 형식화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신태틱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JSON-LD·RDF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직렬화 규범 제공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운영 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Croissant 1.0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비해당 — ML 사용 시 Croissant 포장 계층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비해당 · N/A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출처/계보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PROV-O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생성·공개 이력 형식화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DQV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품질 차원 신설(유일한 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접근/제약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DCAT·ODRL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license URI·accessRights·정책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</w:tbl>
    <w:p>
      <w:pPr>
        <w:spacing w:after="60" w:line="300"/>
      </w:pPr>
    </w:p>
    <w:p>
      <w:pPr>
        <w:pStyle w:val="Heading1"/>
      </w:pPr>
      <w:r>
        <w:t xml:space="preserve">6. 맺음말</w:t>
      </w:r>
    </w:p>
    <w:p>
      <w:pPr>
        <w:spacing w:after="140" w:line="300"/>
      </w:pPr>
      <w:r>
        <w:t xml:space="preserve">이 표준은 의미 정렬이 이미 좋아, 산문 참조를 IRI 바인딩으로 ‘형식화’하는 것만으로 시맨틱·신태틱·운영 시맨틱이 빠르게 충족으로 올라간다. 7개 중 여섯이 ‘부분(1)’이고 품질만 ‘0’이라, 품질(DQV) 신설이 최우선 보강이다. 범용 메타데이터의 전환 모범으로 삼기에 적합하다.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