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연구데이터 관리 및 공유를 위한 메타데이터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TTAK.KO-10.0976 (제정일 2017.03.30.) · PG606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본 의견서는 표준 </w:t>
      </w:r>
      <w:r>
        <w:rPr>
          <w:b/>
          <w:bCs/>
        </w:rPr>
        <w:t xml:space="preserve">TTAK.KO-10.0976</w:t>
      </w:r>
      <w:r>
        <w:t xml:space="preserve">의 서문, 본문(적용 범위·인용 표준·용어 정의·약어·5장 기술원칙·6장 컬렉션/데이터셋/파일·7장 리포지터리 메타데이터) 및 부록(통제어·요소 리스트)을 검토한 결과다. 이 표준은 Dublin Core(DCMI)·DataCite·re3data 체계를 기반으로 컬렉션–데이터셋–파일–리포지터리 4계층의 요소를 정의한, 정합성이 높은 기반 표준이다. 결함은 ‘인용 표준 분류’와 ‘약어 일관성’에 집중된다.</w:t>
      </w:r>
    </w:p>
    <w:p>
      <w:pPr>
        <w:spacing w:after="140" w:line="300"/>
      </w:pPr>
      <w:r>
        <w:t xml:space="preserve">결함의 분류는 분석 카드의 표기와 일치시킨다. </w:t>
      </w:r>
      <w:r>
        <w:rPr>
          <w:b/>
          <w:bCs/>
        </w:rPr>
        <w:t xml:space="preserve">발견 Y</w:t>
      </w:r>
      <w:r>
        <w:t xml:space="preserve"> = 해당 유형 결함이 있음, </w:t>
      </w:r>
      <w:r>
        <w:rPr>
          <w:b/>
          <w:bCs/>
        </w:rPr>
        <w:t xml:space="preserve">N</w:t>
      </w:r>
      <w:r>
        <w:t xml:space="preserve"> = 검사 대상은 있으나 결함이 없음(통과), </w:t>
      </w:r>
      <w:r>
        <w:rPr>
          <w:b/>
          <w:bCs/>
        </w:rPr>
        <w:t xml:space="preserve">N/A</w:t>
      </w:r>
      <w:r>
        <w:t xml:space="preserve"> = 해당 유형 자체가 이 표준에 없음(비해당). 아래 요약 표에는 Y 항목만 싣고, 통과·비해당 항목은 3장에 따로 정리한다.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번호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문제점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수정 권고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심각도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서문 3절 / 본문 2절 (인용 표준)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“인용 표준 해당사항 없음”이나, 5.1 작성원칙이 ‘참조 표준에 정의된 요소명·권고 값을 준용함을 원칙으로 한다’고 명시하고 전 요소가 DCMI·DataCite·re3data·ISO 8601[W3CDTF]을 ‘관련 출처’로 규범 참조함.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DCMI(Dublin Core)·DataCite·re3data·ISO 8601(W3CDTF)을 인용 표준으로 등재.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중간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4장 약어 / 5.3·6장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약어절에 SEP·CVP만 정의되나, 요소 유형으로 SEP·CVP 외에 SES·CV 등을 사용해 약어 정리가 본문 사용과 불일치.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SES·CV 등 본문에서 쓰는 약어·요소 유형을 약어절/표기원칙에 보완 정리.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낮음</w:t>
            </w:r>
          </w:p>
        </w:tc>
      </w:tr>
    </w:tbl>
    <w:p>
      <w:pPr>
        <w:spacing w:after="120" w:line="300"/>
      </w:pPr>
    </w:p>
    <w:p>
      <w:pPr>
        <w:pStyle w:val="Heading2"/>
      </w:pPr>
      <w:r>
        <w:t xml:space="preserve">2.1 인용 표준 분류 (심각도 중간)</w:t>
      </w:r>
    </w:p>
    <w:p>
      <w:pPr>
        <w:spacing w:after="140" w:line="300"/>
      </w:pPr>
      <w:r>
        <w:t xml:space="preserve">이 표준은 외부 표준 ‘준용’을 설계 원칙으로 못 박는다. 5.1 개요는 “특별한 사유가 없는 이상 참조 표준에 정의된 요소명과 권고되는 값을 준용하는 것을 원칙으로 하였다”고 적고, 5.2 작성원칙도 “참조 표준 요소를 참고하여 메타데이터 요소를 도출”, “참조 표준이 제시하는 통제어 및 제한 조건을 그대로 재사용”한다고 명시한다.</w:t>
      </w:r>
    </w:p>
    <w:p>
      <w:pPr>
        <w:spacing w:after="140" w:line="300"/>
      </w:pPr>
      <w:r>
        <w:t xml:space="preserve">실제 요소도 외부 표준에 규범적으로 정렬된다. Identifier 요소의 관련 출처는 </w:t>
      </w:r>
      <w:r>
        <w:rPr>
          <w:rFonts w:ascii="Consolas" w:cs="Consolas" w:eastAsia="Consolas" w:hAnsi="Consolas"/>
          <w:sz w:val="18"/>
          <w:szCs w:val="18"/>
        </w:rPr>
        <w:t xml:space="preserve">DCMI(purl.org/dc/elements/1.1/identifier)</w:t>
      </w:r>
      <w:r>
        <w:t xml:space="preserve">, IdentifierType는 </w:t>
      </w:r>
      <w:r>
        <w:rPr>
          <w:rFonts w:ascii="Consolas" w:cs="Consolas" w:eastAsia="Consolas" w:hAnsi="Consolas"/>
          <w:sz w:val="18"/>
          <w:szCs w:val="18"/>
        </w:rPr>
        <w:t xml:space="preserve">DataCite-Property</w:t>
      </w:r>
      <w:r>
        <w:t xml:space="preserve">, Date 요소는 </w:t>
      </w:r>
      <w:r>
        <w:rPr>
          <w:rFonts w:ascii="Consolas" w:cs="Consolas" w:eastAsia="Consolas" w:hAnsi="Consolas"/>
          <w:sz w:val="18"/>
          <w:szCs w:val="18"/>
        </w:rPr>
        <w:t xml:space="preserve">ISO 8601[W3CDTF]</w:t>
      </w:r>
      <w:r>
        <w:t xml:space="preserve">의 YYYY-MM-DD, Subject 요소는 </w:t>
      </w:r>
      <w:r>
        <w:rPr>
          <w:rFonts w:ascii="Consolas" w:cs="Consolas" w:eastAsia="Consolas" w:hAnsi="Consolas"/>
          <w:sz w:val="18"/>
          <w:szCs w:val="18"/>
        </w:rPr>
        <w:t xml:space="preserve">re3data.org property(ID 13)</w:t>
      </w:r>
      <w:r>
        <w:t xml:space="preserve">를 참조한다. 외부 표준에 대한 규범적 의존이 분명하므로, 이들을 인용 표준으로 등재해야 한다.</w:t>
      </w:r>
    </w:p>
    <w:p>
      <w:pPr>
        <w:pBdr>
          <w:top w:val="single" w:color="C7D6E5" w:sz="4" w:space="5"/>
          <w:left w:val="single" w:color="5E7DA0" w:sz="16" w:space="8"/>
          <w:bottom w:val="single" w:color="C7D6E5" w:sz="4" w:space="5"/>
          <w:right w:val="single" w:color="C7D6E5" w:sz="4" w:space="5"/>
        </w:pBdr>
        <w:shd w:fill="EEF3F7" w:val="clear"/>
        <w:spacing w:after="120" w:before="60" w:line="285"/>
      </w:pPr>
      <w:r>
        <w:rPr>
          <w:b/>
          <w:bCs/>
          <w:color w:val="2E5496"/>
          <w:sz w:val="17"/>
          <w:szCs w:val="17"/>
        </w:rPr>
        <w:t xml:space="preserve">본문 근거  </w:t>
      </w:r>
      <w:r>
        <w:t xml:space="preserve">5.1 — “참조 표준에 정의된 요소명과 요소의 값으로 권고되는 사항을 준용하는 것을 원칙으로 하였다.” / Date 요소 — “ISO 8601[W3CDTF]에 정의된 방식 중 ‘YYYY-MM-DD’ 형식을 사용할 것을 권고함.”</w:t>
      </w:r>
    </w:p>
    <w:p>
      <w:pPr>
        <w:pStyle w:val="Heading2"/>
      </w:pPr>
      <w:r>
        <w:t xml:space="preserve">2.2 약어 일관성 (심각도 낮음)</w:t>
      </w:r>
    </w:p>
    <w:p>
      <w:pPr>
        <w:spacing w:after="140" w:line="300"/>
      </w:pPr>
      <w:r>
        <w:t xml:space="preserve">4장 약어에는 </w:t>
      </w:r>
      <w:r>
        <w:rPr>
          <w:rFonts w:ascii="Consolas" w:cs="Consolas" w:eastAsia="Consolas" w:hAnsi="Consolas"/>
          <w:sz w:val="18"/>
          <w:szCs w:val="18"/>
        </w:rPr>
        <w:t xml:space="preserve">SEP(Syntax Encoding Property)·CVP(Controlled Vocabulary Property)</w:t>
      </w:r>
      <w:r>
        <w:t xml:space="preserve">만 정의되어 있다. 그러나 5.3 표기원칙과 요소 정의에서 요소 유형으로 </w:t>
      </w:r>
      <w:r>
        <w:rPr>
          <w:rFonts w:ascii="Consolas" w:cs="Consolas" w:eastAsia="Consolas" w:hAnsi="Consolas"/>
          <w:sz w:val="18"/>
          <w:szCs w:val="18"/>
        </w:rPr>
        <w:t xml:space="preserve">Property·Class·SEP·CVP·SES·CV</w:t>
      </w:r>
      <w:r>
        <w:t xml:space="preserve"> 등을 사용한다(예: Date=SEP, IdentifierType=CVP, Title=Property). SES·CV 등 본문에서 쓰는 약어·유형을 약어절 또는 표기원칙에 함께 정리하면 일관성이 높아진다.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아래 항목은 이 표준의 성격상 적용 대상이 아니거나(N/A), 검사 대상이 있었으나 결함이 없는(N) 항목이다. 이 표준은 서지·기술 메타데이터라 수치형 타입·단위·코드표 오류 같은 데이터 구조형 결함이 원천적으로 적다.</w:t>
      </w:r>
    </w:p>
    <w:p>
      <w:pPr>
        <w:pStyle w:val="ListParagraph"/>
        <w:numPr>
          <w:ilvl w:val="0"/>
          <w:numId w:val="2"/>
        </w:numPr>
        <w:spacing w:after="70" w:line="292"/>
      </w:pPr>
      <w:r>
        <w:rPr>
          <w:b/>
          <w:bCs/>
        </w:rPr>
        <w:t xml:space="preserve">데이터 타입 정의 오류 — </w:t>
      </w:r>
      <w:r>
        <w:t>(N/A · 비해당) 요소 유형이 Property·Class·CVP·SEP로 정의되는 서지·기술 메타데이터로, XML Schema 수치형 타입(비트폭·범위) 정의가 없어 1530식 타입 오류가 성립하지 않음.</w:t>
      </w:r>
    </w:p>
    <w:p>
      <w:pPr>
        <w:pStyle w:val="ListParagraph"/>
        <w:numPr>
          <w:ilvl w:val="0"/>
          <w:numId w:val="2"/>
        </w:numPr>
        <w:spacing w:after="70" w:line="292"/>
      </w:pPr>
      <w:r>
        <w:rPr>
          <w:b/>
          <w:bCs/>
        </w:rPr>
        <w:t xml:space="preserve">단위 표기 모호성 — </w:t>
      </w:r>
      <w:r>
        <w:t>(N/A · 비해당) 측정값·물리 단위를 다루지 않는 기술 메타데이터(Title·Creator·Date 등)로 단위 표기 대상이 없음.</w:t>
      </w:r>
    </w:p>
    <w:p>
      <w:pPr>
        <w:pStyle w:val="ListParagraph"/>
        <w:numPr>
          <w:ilvl w:val="0"/>
          <w:numId w:val="2"/>
        </w:numPr>
        <w:spacing w:after="70" w:line="292"/>
      </w:pPr>
      <w:r>
        <w:rPr>
          <w:b/>
          <w:bCs/>
        </w:rPr>
        <w:t xml:space="preserve">코드/enum 정의 오류 — </w:t>
      </w:r>
      <w:r>
        <w:t>(N · 통과) 통제어(CVP)와 부록 Ⅱ-1 통제어로 TitleType·DateType·IdentifierType·AccessType 등 값 목록을 정의하며, 검토 범위에서 통제어 정의 오류는 발견되지 않음.</w:t>
      </w:r>
    </w:p>
    <w:p>
      <w:pPr>
        <w:pStyle w:val="ListParagraph"/>
        <w:numPr>
          <w:ilvl w:val="0"/>
          <w:numId w:val="2"/>
        </w:numPr>
        <w:spacing w:after="70" w:line="292"/>
      </w:pPr>
      <w:r>
        <w:rPr>
          <w:b/>
          <w:bCs/>
        </w:rPr>
        <w:t xml:space="preserve">오타·표기 불일치 — </w:t>
      </w:r>
      <w:r>
        <w:t>(N · 통과) 검토 범위에서 오탈자는 발견되지 않음.</w:t>
      </w:r>
    </w:p>
    <w:p>
      <w:pPr>
        <w:pStyle w:val="ListParagraph"/>
        <w:numPr>
          <w:ilvl w:val="0"/>
          <w:numId w:val="2"/>
        </w:numPr>
        <w:spacing w:after="70" w:line="292"/>
      </w:pPr>
      <w:r>
        <w:rPr>
          <w:b/>
          <w:bCs/>
        </w:rPr>
        <w:t xml:space="preserve">기타 — </w:t>
      </w:r>
      <w:r>
        <w:t>(N · 통과) 위 분류 외 추가 결함은 발견되지 않음.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이 표준은 Dublin Core·DataCite·re3data에 충실한 정합성 높은 기반 표준으로, 결함은 인용 표준 분류(중간)와 약어 보완(낮음)에 그친다. 인용 표준 등재를 우선 처리하고 약어는 편집 단계에서 보완하면 된다. 본 표준의 진짜 과제는 결함 교정보다 AI-Ready 전환이며, 이는 개선방향 문서에서 다룬다.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2026-06-22T06:18:39.213Z</dcterms:created>
  <dcterms:modified xsi:type="dcterms:W3CDTF">2026-06-22T06:18:39.213Z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