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비정형데이터 품질지표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유통‧활용 데이터 점검 방법 - 제2부: 비정형 데이터 품질지표 (Quality Measurement of Data for Service/Utilizing - Part 2: Unstructured Data Quality Model)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TTAK.KO-10.1344-Part2 (제정 2023.12.06.) · PG606</w:t>
      </w:r>
    </w:p>
    <w:p>
      <w:pPr>
        <w:spacing w:after="240"/>
        <w:jc w:val="center"/>
      </w:pPr>
      <w:r>
        <w:t>7개 구성요소 프레임워크 기반 상세 분석 · 성숙도 1/12 ≈ 8%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표준은 시장에서 유통·활용되는 비정형데이터(이미지·텍스트·비디오·사운드·GIS)의 품질점검을 위한 6개 대분류/10개 세부 품질지표와 객체별 측정산식을 규정하는 절차형 품질검증 표준이다. 5장 점검대상 준비, 6장 품질점검 절차/조직/지표, 7장 점검 수행(측정산식/정합성율 산정)으로 구성된다.</w:t>
      </w:r>
    </w:p>
    <w:p>
      <w:pPr>
        <w:spacing w:after="140" w:line="300"/>
      </w:pPr>
      <w:r>
        <w:t>AI-Ready 관점의 출발점은 낮다. 외부 전역 어휘(IRI) 바인딩, RDF/온톨로지, 규범 직렬화가 전무하여 시맨틱/데이터모델/신태틱이 모두 0이며, 보정표에서 1530(2/12, XML 스키마)/1595(5/14, 산문형) 인근에 위치한다. 다만 운영 시맨틱은 비해당(N/A)이고 품질 프로파일(지표/측정식)에서 1을 확보해 합계 1/12(약 8%)다.</w:t>
      </w:r>
    </w:p>
    <w:p>
      <w:pPr>
        <w:spacing w:after="140" w:line="300"/>
      </w:pPr>
      <w:r>
        <w:t xml:space="preserve">핵심 진단은 품질 지표 체계 자체는 6개 대분류/10개 세부지표/측정산식으로 비교적 충실하나, 이 신호들이 표/산문 형태에 머물러 기계가 해석할 수 있는 표준 어휘(DQV 등)로 형식화되지 않았다는 점이다. 따라서 전환 경로는 품질 프로파일을 DQV로, 측정 단위/집계를 QUDT/UCUM으로 결합하는 데서 출발한다.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t xml:space="preserve">3장 용어와 지표명(완전성·유효성·정확성·유일성·적시성·활용성, &lt;표 6-3&gt;)은 한글 산문/로컬 명칭이며 [출처] TTA 정보통신용어사전만 인용한다. 전역 어휘에 연결된 개념이 없다.</w:t>
      </w:r>
    </w:p>
    <w:p>
      <w:pPr>
        <w:spacing w:after="140" w:line="300"/>
      </w:pPr>
      <w:r>
        <w:t xml:space="preserve">6개 대분류/10개 세부지표 명칭을 SKOS 개념 스킴으로 등록하고 dqv:Dimension/Metric에 매핑한다. 컬러심도/해상도 등 공통 속성은 schema.org/Wikidata IRI에 바인딩해 의미 추적성을 확보한다.</w:t>
      </w:r>
    </w:p>
    <w:p>
      <w:pPr>
        <w:pStyle w:val="Heading2"/>
      </w:pPr>
      <w:r>
        <w:t>3.2 데이터 모델 (0 · 미충족)</w:t>
      </w:r>
    </w:p>
    <w:p>
      <w:pPr>
        <w:spacing w:after="140" w:line="300"/>
      </w:pPr>
      <w:r>
        <w:t>품질지표·측정 산식 중심이라 점검 대상 데이터의 값 유형·제약 정의 자체가 없다.</w:t>
      </w:r>
    </w:p>
    <w:p>
      <w:pPr>
        <w:spacing w:after="140" w:line="300"/>
      </w:pPr>
      <w:r>
        <w:t>점검 대상 데이터의 값 스키마(타입·제약)를 도입한다.</w:t>
      </w:r>
    </w:p>
    <w:p>
      <w:pPr>
        <w:pStyle w:val="Heading2"/>
      </w:pPr>
      <w:r>
        <w:t xml:space="preserve">3.3 신태틱 (0 · 미충족)</w:t>
      </w:r>
    </w:p>
    <w:p>
      <w:pPr>
        <w:spacing w:after="140" w:line="300"/>
      </w:pPr>
      <w:r>
        <w:t xml:space="preserve">메타데이터 직렬화는 &lt;표 5-1&gt;~&lt;표 5-5&gt;의 'XLSX/CSV/TXT/JSON/XML' 준비 파일 형식 열거 수준이며 규범 직렬화가 없다.</w:t>
      </w:r>
    </w:p>
    <w:p>
      <w:pPr>
        <w:spacing w:after="140" w:line="300"/>
      </w:pPr>
      <w:r>
        <w:t xml:space="preserve">품질점검 결과보고서/매핑표(&lt;표 7-2&gt;)/측정 결과를 JSON-LD 프로파일로 규범화하여 도구 간 교환 가능한 직렬화를 제공한다.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비정형 데이터 품질지표를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(0 · 미충족)</w:t>
      </w:r>
    </w:p>
    <w:p>
      <w:pPr>
        <w:spacing w:after="140" w:line="300"/>
      </w:pPr>
      <w:r>
        <w:t xml:space="preserve">출처/계보는 7.1 데이터 수집기간, 7.2 제공방식(File/API/FTP), 7.4.5 텍스트 '업데이트 날짜' 등으로 흩어져 있고 계보 필드 체계가 없다.</w:t>
      </w:r>
    </w:p>
    <w:p>
      <w:pPr>
        <w:spacing w:after="140" w:line="300"/>
      </w:pPr>
      <w:r>
        <w:t xml:space="preserve">데이터 제공방식/수집기간/갱신일을 PROV-O(prov:Entity/Activity/wasGeneratedBy)로 묶어 점검 대상 데이터의 생성/제공 계보를 형식화한다.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t xml:space="preserve">품질 신호는 &lt;표 6-3&gt;/&lt;표 6-4&gt;의 6대분류/10세부지표와 7.4 측정산식으로 풍부하나 표/산문 형태이며 DQV 등 품질 어휘로 형식화되지 않았다.</w:t>
      </w:r>
    </w:p>
    <w:p>
      <w:pPr>
        <w:spacing w:after="140" w:line="300"/>
      </w:pPr>
      <w:r>
        <w:t xml:space="preserve">각 세부지표를 dqv:Metric, 대분류를 dqv:Dimension, 점검 결과(오류율/정합성율)를 dqv:QualityMeasurement/dqv:QualityAnnotation으로 표현해 기계 판독 가능한 품질 프로파일로 전환한다.</w:t>
      </w:r>
    </w:p>
    <w:p>
      <w:pPr>
        <w:pStyle w:val="Heading2"/>
      </w:pPr>
      <w:r>
        <w:t xml:space="preserve">3.7 접근/사용 제약 (0 · 미충족)</w:t>
      </w:r>
    </w:p>
    <w:p>
      <w:pPr>
        <w:spacing w:after="140" w:line="300"/>
      </w:pPr>
      <w:r>
        <w:t xml:space="preserve">접근/사용 제약은 표지 저작권 고지와 부록 I-1 지식재산권 확약서(해당 사항 없음)뿐이며 데이터 수준 라이선스/접근권 메타데이터가 없다.</w:t>
      </w:r>
    </w:p>
    <w:p>
      <w:pPr>
        <w:spacing w:after="140" w:line="300"/>
      </w:pPr>
      <w:r>
        <w:t xml:space="preserve">데이터 상품 등록/B2B 거래 맥락에 맞추어 DCAT dcat:Distribution과 ODRL 정책으로 데이터 수준 라이선스/접근권/이용 제약을 명시한다.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방식은 다음 순서로 진행한다. 1) 6.3의 KDATA 안내서를 인용/준용표준으로 격상하고 7.4.5 절 번호/지표 개수 서술을 정정한다. 2) 6개 대분류/10개 세부지표를 SKOS+DQV(Dimension/Metric)로 어휘화한다. 3) 측정 단위/산식을 QUDT/UCUM 및 dqv:QualityMeasurement로 결합한다. 4) 점검 대상/결과를 DCAT/JSON-LD로 직렬화하고 출처는 PROV-O, 라이선스는 ODRL로 명시한다.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SKOS, schema.org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품질점검 결과보고서/매핑표(&lt;표 7-2&gt;)/측정 결과를 JSON-LD 프로파일로 규범화하여 도…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제공방식/수집기간/갱신일을 PROV-O(prov:Entity/Activity/wasGe…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각 세부지표를 dqv:Metric, 대분류를 dqv:Dimension, 점검 결과(오류율/정합…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 v3, ODRL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상품 등록/B2B 거래 맥락에 맞추어 DCAT dcat:Distribution과 ODR…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>본 표준은 비정형데이터 품질지표와 측정산식을 절차 수준에서 충실히 규정하나, 품질 신호가 표/산문에 머물러 AI-Ready 성숙도는 1/12(약 8%)에 그친다. 인용/준용 표기 정정과 함께 DQV/QUDT/DCAT/ODRL로의 형식화를 단계적으로 적용하면, 품질 프로파일을 중심으로 기계 판독 가능한 데이터 품질 표준으로 발전할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