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8" w:lineRule="auto"/>
        <w:jc w:val="center"/>
      </w:pPr>
      <w:r>
        <w:rPr>
          <w:rFonts w:ascii="맑은 고딕" w:hAnsi="맑은 고딕" w:eastAsia="맑은 고딕"/>
          <w:b/>
          <w:color w:val="1F4E79"/>
          <w:sz w:val="34"/>
        </w:rPr>
        <w:t>표준 검토 의견서</w:t>
      </w:r>
    </w:p>
    <w:p>
      <w:pPr>
        <w:spacing w:before="0" w:after="40" w:line="288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2"/>
        </w:rPr>
        <w:t>OWPML 문서 메타데이터를 데이터베이스 스키마에 매핑하기 위한 변환 절차</w:t>
      </w:r>
    </w:p>
    <w:p>
      <w:pPr>
        <w:spacing w:before="0" w:after="200" w:line="288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TTAK.KO-10.1506 (제정 2024.06.28.) · PG606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1. 검토 개요와 방법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본 의견서는 표준 TTAK.KO-10.1506의 서문·본문(적용 범위·인용 표준·용어 정의·약어·5장 변환 절차)·부록(예시·처리방안)을 검토한 결과다. 이 표준은 OWPML(한글 hwpx) 문서의 XML 태그를 파서·IC 노드·IC 트리·DTO를 거쳐 데이터베이스 스키마로 변환하는 절차를 정의하며, 자매 표준 TTAK.KO-10.1471(OOXML)의 확장이다.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성격상 유의. 이 표준은 '데이터셋을 기술하는 메타데이터 스키마'가 아니라 '문서 요소를 DB로 변환하는 절차'다. 따라서 AI-Ready 7개 구성요소 잣대의 적용은 제한적이며(문서 구조 요소·속성 중심), 결함은 '인용 표준 분류'와 'OWPML/OOXML 표기 혼동'에 집중된다.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결함의 분류는 분석 카드의 표기와 일치시킨다. 발견 Y = 해당 유형 결함이 있음, N = 검사 대상은 있으나 결함이 없음(통과), N/A = 해당 유형 자체가 이 표준에 없음(비해당). 아래 요약 표에는 Y 항목만 싣고, 통과·비해당 항목은 3장에 정리한다.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2. 발견 사항 — 요약과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문제점</w:t>
            </w:r>
          </w:p>
        </w:tc>
        <w:tc>
          <w:tcPr>
            <w:tcW w:type="dxa" w:w="187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수정 권고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심각도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서문 3절 / 본문 2절 (인용 표준)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§3 '인용 표준 해당사항 없음'이나, 본문이 OWPML(KS X 6101)·OOXML(ISO/IEC 29500)에 규범 의존하고 연계 표준으로 TTAK.KO-10.1471을 든다.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KS X 6101·ISO/IEC 29500을 인용 표준으로 등재(1471은 연계 표준으로 유지).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 5-1b·5-2a 헤더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OWPML 문단·표 요소를 정의하는 표인데 헤더가 'OOXML Tag Classification Depth'로 잘못 표기되어 자매 표준(OOXML)과 혼동을 유발.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헤더를 'OWPML Tag Classification Depth'로 정정.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표 5-3a (도형 속성 설명)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HwpxCurrentSize-Parser의 w·h 설명이 'X 좌표/Y 좌표'로, HwpxFlipParser의 w·h가 '너비/높이'로 기재되어 속성 의미와 설명이 어긋남(현재 크기는 너비/높이, Flip은 좌우/상하 반전).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각 파서 속성의 설명을 실제 의미(너비/높이, horizontal/vertical)로 정정.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서문·본문 (오타)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영문 요약 'medadata'(→metadata), 본문 '정의을'·'5.3.장'·'IC T트리' 등 오탈자.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오탈자 교정.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</w:tbl>
    <w:p>
      <w:pPr>
        <w:spacing w:after="40"/>
      </w:pP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2.1 인용 표준 분류 (심각도 중간)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적용 범위·용어 정의가 OWPML(KS X 6101)과 OOXML(ISO/IEC 29500)을 전제로 하고, 변환 대상 태그(hp:p·w:p 등)가 이 두 규격의 요소다. 연계 표준으로 TTAK.KO-10.1471도 든다. 그럼에도 §3은 '인용 표준 해당사항 없음'으로 적었다. KS X 6101·ISO/IEC 29500을 인용 표준으로 등재해야 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2.2 OWPML/OOXML 표기 혼동 (심각도 중간)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표 5-1b·5-2a의 헤더가 'OOXML Tag Classification Depth'로 되어 있으나 정의 내용은 OWPML(hp:*·hh:*) 태그다. 자매 표준(1471, OOXML)과의 혼동을 부르는 표기 오류로, 헤더 정정이 필요하다. 또한 표 5-3a의 일부 파서 속성 설명(HwpxCurrentSize·HwpxFlip)이 실제 의미와 어긋나므로 함께 정정한다.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3. 점검 통과(N) · 비해당(N/A) 항목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단위 표기 모호성 — (N/A · 비해당) 물리 측정 단위가 아니라 문서 좌표·크기(정수/실수)를 다룸.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데이터 타입 정의 오류 — (N · 통과) 형태 컬럼(long·string·enum·double·integer)이 대체로 일관되나, enum(breakType) 유효값 목록은 별도 제시 권장.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코드/enum 정의 오류 — (부분) breakType 등 enum의 허용값 목록이 문서에 명시되지 않음(자동검사 부분).</w:t>
      </w:r>
    </w:p>
    <w:p>
      <w:pPr>
        <w:pStyle w:val="ListBullet"/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AI-Ready 잣대 적용 — (제한적) 데이터셋 메타데이터 스키마가 아닌 변환 절차 표준으로, 7개 구성요소 채점은 문서 구조 요소·속성에 한해 참고적으로만 적용됨.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4. 조치 우선순위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표준은 공공문서(hwpx)를 DB·지식그래프로 옮기는 실용적 변환 절차로, 문서 요소·속성을 상세히 정의한다. 다만 성격상 데이터셋 메타데이터 스키마가 아니므로 AI-Ready 수준 요건의 '직접 적용 대상'이라기보다 '지식그래프 산출을 위한 파이프라인 표준'으로 다루는 것이 타당하다. 인용 표준 등재와 OWPML/OOXML 헤더 정정을 우선 처리하고, AI-Ready 전환 방향은 개선방향 문서에서 지식그래프 연계 관점으로 제시한다.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