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농업 AI학습데이터 메타스키마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농업 분야 인공지능 학습용 데이터 플랫폼 관리를 위한 메타데이터 스키마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TTAK.KO-10.1533 (제정 2024.12.06.) · PG606</w:t>
      </w:r>
    </w:p>
    <w:p>
      <w:pPr>
        <w:spacing w:after="240"/>
        <w:jc w:val="center"/>
      </w:pPr>
      <w:r>
        <w:t>7개 구성요소 프레임워크 기반 상세 분석 · 성숙도 4/14 ≈ 29%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표준은 농축산 분야 인공지능 학습용 데이터 33종을 대상으로 이미지파일정보(ID1~67)와 어노테이션정보(ID68~311) 311개 메타데이터 요소를 정의한 표 형식 데이터 사전이다. 각 요소는 ID·요소명(한/영)·표시상수·데이터 타입·필수 여부·요소 설명·예시로 기술된다.</w:t>
      </w:r>
    </w:p>
    <w:p>
      <w:pPr>
        <w:spacing w:after="140" w:line="300"/>
      </w:pPr>
      <w:r>
        <w:t>AI-Ready 관점의 출발점은 낮다. 의미가 산문 정의와 로컬 표시상수에만 담겨 전역 어휘(IRI) 바인딩이 없고(시맨틱 0), 직렬화 규범이 부재하며(신태틱 0), 단위·코드의 해석규칙도 없다(운영 시맨틱 0). 보정표 기준으로는 형식 미성숙형인 1530(2/12)과 1595(5/14) 구간에 위치하며, 데이터 수준 라이선스·출처·품질 필드가 일부 존재해 1530보다 신규 3축(출처·품질·접근)에서 한 단계 앞선다.</w:t>
      </w:r>
    </w:p>
    <w:p>
      <w:pPr>
        <w:spacing w:after="140" w:line="300"/>
      </w:pPr>
      <w:r>
        <w:t xml:space="preserve">핵심 진단은 내용은 풍부하나 형식이 미성숙하다는 점이다. 라이선스(ID127~129)·저작권(ID27)·출처(ID41,187,188)·품질등급(ID300~302) 필드가 이미 데이터 수준에 존재하므로, 이들을 표준 어휘(DCAT·ODRL·PROV-O·DQV·SKOS)에 바인딩하고 JSON-LD 직렬화를 부여하면 비교적 적은 전환 비용으로 성숙도를 끌어올릴 수 있다.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 xml:space="preserve">AI-Ready 전환은 기존 메타데이터의 세 측면을 ‘다시 표현’하고(전환 3종), 대체로 빠져 있던 네 측면을 ‘새로 추가’하는(신규 4종) 작업이다. 괄호 안 숫자는 0(미충족)·1(부분)·2(충족) 등급이며, 7개 합계를 14로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3.1 시맨틱 현재 — &lt;표 6-1&gt;·6.1.2의 311개 요소 의미가 한글 산문과 로컬 표시상수(IMU_HDNG_ANGLE, GRWH_STEP_CODE 등)로만 정의되고 외부 어휘 매핑이 전무하다. 2 인용 표준: 해당 사항 없음이다.</w:t>
      </w:r>
    </w:p>
    <w:p>
      <w:pPr>
        <w:spacing w:after="140" w:line="300"/>
      </w:pPr>
      <w:r>
        <w:t xml:space="preserve">작물·부위·행동·생육단계 등 핵심 개념을 SKOS 개념체계와 AGROVOC·schema.org IRI에 바인딩하고, 요소명을 rdfs:label, 표시상수를 dct/skos:notation으로 매핑해 전역 식별자를 부여한다.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RDBMS 타입(VARCHAR/NUMBER/INT)·필수여부를 표로 정의하나 검증 스키마는 없다.</w:t>
      </w:r>
    </w:p>
    <w:p>
      <w:pPr>
        <w:spacing w:after="140" w:line="300"/>
      </w:pPr>
      <w:r>
        <w:t>타입·제약을 JSON Schema/SHACL로 형식화한다.</w:t>
      </w:r>
    </w:p>
    <w:p>
      <w:pPr>
        <w:pStyle w:val="Heading2"/>
      </w:pPr>
      <w:r>
        <w:t xml:space="preserve">3.3 신태틱 (0 · 미충족)</w:t>
      </w:r>
    </w:p>
    <w:p>
      <w:pPr>
        <w:spacing w:after="140" w:line="300"/>
      </w:pPr>
      <w:r>
        <w:t xml:space="preserve">3.3 신태틱 현재 — 5.3·&lt;표 5-2&gt;는 표 표기 규칙만 두고 교환 포맷을 규정하지 않으며, 타입도 VARCHAR/NUMBER 등 DB 구현 타입에 머문다.</w:t>
      </w:r>
    </w:p>
    <w:p>
      <w:pPr>
        <w:spacing w:after="140" w:line="300"/>
      </w:pPr>
      <w:r>
        <w:t xml:space="preserve">요소 스키마를 JSON-LD 컨텍스트로 정의하고 Croissant 등 ML 데이터셋 직렬화를 규범 부속서로 제공해 기계 판독 가능한 교환 형식을 부여한다.</w:t>
      </w:r>
    </w:p>
    <w:p>
      <w:pPr>
        <w:pStyle w:val="Heading2"/>
      </w:pPr>
      <w:r>
        <w:t>3.4 운영 시맨틱 (0 · 미충족)</w:t>
      </w:r>
    </w:p>
    <w:p>
      <w:pPr>
        <w:spacing w:after="140" w:line="300"/>
      </w:pPr>
      <w:r>
        <w:t>어노테이션(레이블성) 정보는 있으나 ML 역할·split을 선언하지 않는다.</w:t>
      </w:r>
    </w:p>
    <w:p>
      <w:pPr>
        <w:spacing w:after="140" w:line="300"/>
      </w:pPr>
      <w:r>
        <w:t>feature/label·split을 Croissant로 선언한다.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3.5 출처/계보 현재 — ID41 촬영기관, ID187 수집기관시스템ID, ID188 수집일자, ID174 생성일자, ID214 업데이트일자, ID97 검수자ID 등 출처 필드가 산재하나 관련 출처 속성은 상세에서 누락됐다.</w:t>
      </w:r>
    </w:p>
    <w:p>
      <w:pPr>
        <w:spacing w:after="140" w:line="300"/>
      </w:pPr>
      <w:r>
        <w:t xml:space="preserve">수집·생성·검수·갱신 이력을 PROV-O(Activity/Agent/Entity)로 형식화하고 dct:source·prov:wasDerivedFrom으로 연결해 계보를 그래프화한다.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3.6 품질 프로파일 현재 — ID300 품질·ID302 품질등급(A,B,C)·ID301 품질당도등급명·ID259 정상여부·ID97 검수자ID 등 품질 신호가 등급 enum·검수 필드 수준에 머문다.</w:t>
      </w:r>
    </w:p>
    <w:p>
      <w:pPr>
        <w:spacing w:after="140" w:line="300"/>
      </w:pPr>
      <w:r>
        <w:t xml:space="preserve">품질 차원을 DQV(dqv:QualityMeasurement·dqv:Dimension)로 표현하고 검수율·등급 분포를 측정값으로 부여해 품질을 형식화한다.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t xml:space="preserve">3.7 접근/사용 제약 현재 — ID127 라이선스ID, ID128 라이선스URL, ID129 라이선스명, ID27 이미지저작권정보, ID253 저작권동의여부가 데이터 수준에 존재하나 권리 표현이 규범화되지 않았다.</w:t>
      </w:r>
    </w:p>
    <w:p>
      <w:pPr>
        <w:spacing w:after="140" w:line="300"/>
      </w:pPr>
      <w:r>
        <w:t xml:space="preserve">라이선스를 DCAT dct:license/dct:rights로, 사용 권리·의무·금지를 ODRL Policy로 표현해 데이터 수준 접근·사용 제약을 표준 모델로 명시한다.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순서는 (1) NIA 공공DB 표준화 매뉴얼 등 규범 의존을 인용표준으로 명시하고 우선순위(M/R/O)·관련 출처 속성을 상세 레코드에 복원해 정합성을 확보하고, (2) 핵심 개념(작물·부위·행동·생육단계)을 SKOS/AGROVOC IRI에 바인딩하며, (3) 단위·코드에 QUDT/UCUM·SKOS 코드리스트를 결합하고, (4) 라이선스·출처·품질을 ODRL·PROV-O·DQV로 형식화한 뒤, (5) 전체를 JSON-LD/Croissant 직렬화로 묶어 기계 판독 교환 형식을 제공하는 것이다.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SKOS, schema.org, AGROVOC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JSON-LD, Croissant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요소 스키마를 JSON-LD 컨텍스트로 정의하고 Croissant 등 ML 데이터셋 직렬화를 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split·feature/label 형식 선언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PROV-O, DCAT v3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수집·생성·검수·갱신 이력을 PROV-O(Activity/Agent/Entity)로 형식화하고…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차원을 DQV(dqv:QualityMeasurement·dqv:Dimension)로 표현…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v3, 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라이선스를 DCAT dct:license/dct:rights로, 사용 권리·의무·금지를 ODR…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본 표준은 농축산 인공지능 학습데이터 311개 요소를 체계적으로 정리한 충실한 데이터 사전이나, 전역 어휘 바인딩과 규범 직렬화의 부재로 AI-Ready 성숙도는 4/14에 머문다. 이미 보유한 라이선스·출처·품질 필드를 표준 어휘로 매핑하고 인용표준·속성 모델의 내부 정합성을 정비하면, 적은 전환 비용으로 상호운용 가능한 AI-Ready 메타데이터 표준으로 발전할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