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표준 검토 의견서</w:t>
      </w:r>
    </w:p>
    <w:p>
      <w:pPr>
        <w:spacing w:after="40"/>
        <w:jc w:val="center"/>
      </w:pPr>
      <w:r>
        <w:rPr>
          <w:b/>
          <w:bCs/>
          <w:sz w:val="23"/>
          <w:szCs w:val="23"/>
        </w:rPr>
        <w:t xml:space="preserve">농업 분야 인공지능 학습용 데이터 플랫폼 관리를 위한 메타데이터 스키마</w:t>
      </w:r>
    </w:p>
    <w:p>
      <w:pPr>
        <w:spacing w:after="240"/>
        <w:jc w:val="center"/>
      </w:pPr>
      <w:r>
        <w:rPr>
          <w:color w:val="666666"/>
          <w:sz w:val="20"/>
          <w:szCs w:val="20"/>
        </w:rPr>
        <w:t xml:space="preserve">TTAK.KO-10.1533 (제정일 2024.12.06.) · PG606</w:t>
      </w:r>
    </w:p>
    <w:p>
      <w:pPr>
        <w:pStyle w:val="Heading1"/>
      </w:pPr>
      <w:r>
        <w:t xml:space="preserve">1. 검토 개요와 방법</w:t>
      </w:r>
    </w:p>
    <w:p>
      <w:pPr>
        <w:spacing w:after="140" w:line="300"/>
      </w:pPr>
      <w:r>
        <w:t xml:space="preserve">본 검토는 TTAK.KO-10.1533 농업 분야 인공지능 학습용 데이터 플랫폼 관리를 위한 메타데이터 스키마(제1판, 2024.12.06., PG606) 전체(서문·본문 1~6장·부록 Ⅰ-1~Ⅰ-6)를 대상으로 한다. 이 표준은 2020~2021년 구축 농축산 분야 인공지능 학습용 데이터 33종을 기반으로 이미지파일정보·어노테이션정보 311개 메타데이터 요소를 &lt;표 6-1&gt; 요약과 6.1.2 상세 레코드로 제시하는 표 형식 데이터 사전 성격의 스키마형 표준이다.</w:t>
      </w:r>
    </w:p>
    <w:p>
      <w:pPr>
        <w:spacing w:after="140" w:line="300"/>
      </w:pPr>
      <w:r>
        <w:t xml:space="preserve">품질·정합성 7유형 중 데이터 타입 정의 오류, 단위 표기 모호성, 인용/준용표준 분류 오류, 코드/enum 정의 오류, 오타·표기 불일치, 내부 일관성 6개 유형에서 결함(Y)이 확인되었고, 기타는 비해당(N/A)이다. Y는 해당 결함 있음, N은 검사 대상은 있으나 통과, N/A는 유형 자체가 비해당을 뜻하며, 본 표준은 검사 대상 6개 유형 전부에서 결함이 발견되어 결함 분포가 광범위하다.</w:t>
      </w:r>
    </w:p>
    <w:p>
      <w:pPr>
        <w:pStyle w:val="Heading1"/>
      </w:pPr>
      <w:r>
        <w:t xml:space="preserve">2. 발견 사항 — 요약과 상세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560"/>
        <w:gridCol w:w="1620"/>
        <w:gridCol w:w="3206"/>
        <w:gridCol w:w="2780"/>
        <w:gridCol w:w="860"/>
      </w:tblGrid>
      <w:tr>
        <w:trPr>
          <w:tblHeader/>
        </w:trPr>
        <w:tc>
          <w:tcPr>
            <w:tcW w:type="dxa" w:w="560"/>
            <w:shd w:fill="2E5496" w:val="clear"/>
            <w:tcMar>
              <w:top w:type="dxa" w:w="60"/>
              <w:left w:type="dxa" w:w="80"/>
              <w:bottom w:type="dxa" w:w="60"/>
              <w:right w:type="dxa" w:w="80"/>
            </w:tcMar>
            <w:vAlign w:val="center"/>
          </w:tcPr>
          <w:p>
            <w:pPr>
              <w:spacing w:after="0" w:line="276"/>
              <w:jc w:val="center"/>
            </w:pPr>
            <w:r>
              <w:rPr>
                <w:b/>
                <w:bCs/>
                <w:color w:val="FFFFFF"/>
              </w:rPr>
              <w:t xml:space="preserve">번호</w:t>
            </w:r>
          </w:p>
        </w:tc>
        <w:tc>
          <w:tcPr>
            <w:tcW w:type="dxa" w:w="1620"/>
            <w:shd w:fill="2E5496" w:val="clear"/>
            <w:tcMar>
              <w:top w:type="dxa" w:w="60"/>
              <w:left w:type="dxa" w:w="80"/>
              <w:bottom w:type="dxa" w:w="60"/>
              <w:right w:type="dxa" w:w="80"/>
            </w:tcMar>
            <w:vAlign w:val="center"/>
          </w:tcPr>
          <w:p>
            <w:pPr>
              <w:spacing w:after="0" w:line="276"/>
              <w:jc w:val="center"/>
            </w:pPr>
            <w:r>
              <w:rPr>
                <w:b/>
                <w:bCs/>
                <w:color w:val="FFFFFF"/>
              </w:rPr>
              <w:t xml:space="preserve">위치</w:t>
            </w:r>
          </w:p>
        </w:tc>
        <w:tc>
          <w:tcPr>
            <w:tcW w:type="dxa" w:w="3206"/>
            <w:shd w:fill="2E5496" w:val="clear"/>
            <w:tcMar>
              <w:top w:type="dxa" w:w="60"/>
              <w:left w:type="dxa" w:w="80"/>
              <w:bottom w:type="dxa" w:w="60"/>
              <w:right w:type="dxa" w:w="80"/>
            </w:tcMar>
            <w:vAlign w:val="center"/>
          </w:tcPr>
          <w:p>
            <w:pPr>
              <w:spacing w:after="0" w:line="276"/>
              <w:jc w:val="center"/>
            </w:pPr>
            <w:r>
              <w:rPr>
                <w:b/>
                <w:bCs/>
                <w:color w:val="FFFFFF"/>
              </w:rPr>
              <w:t xml:space="preserve">문제점</w:t>
            </w:r>
          </w:p>
        </w:tc>
        <w:tc>
          <w:tcPr>
            <w:tcW w:type="dxa" w:w="2780"/>
            <w:shd w:fill="2E5496" w:val="clear"/>
            <w:tcMar>
              <w:top w:type="dxa" w:w="60"/>
              <w:left w:type="dxa" w:w="80"/>
              <w:bottom w:type="dxa" w:w="60"/>
              <w:right w:type="dxa" w:w="80"/>
            </w:tcMar>
            <w:vAlign w:val="center"/>
          </w:tcPr>
          <w:p>
            <w:pPr>
              <w:spacing w:after="0" w:line="276"/>
              <w:jc w:val="center"/>
            </w:pPr>
            <w:r>
              <w:rPr>
                <w:b/>
                <w:bCs/>
                <w:color w:val="FFFFFF"/>
              </w:rPr>
              <w:t xml:space="preserve">수정 권고</w:t>
            </w:r>
          </w:p>
        </w:tc>
        <w:tc>
          <w:tcPr>
            <w:tcW w:type="dxa" w:w="860"/>
            <w:shd w:fill="2E5496" w:val="clear"/>
            <w:tcMar>
              <w:top w:type="dxa" w:w="60"/>
              <w:left w:type="dxa" w:w="80"/>
              <w:bottom w:type="dxa" w:w="60"/>
              <w:right w:type="dxa" w:w="80"/>
            </w:tcMar>
            <w:vAlign w:val="center"/>
          </w:tcPr>
          <w:p>
            <w:pPr>
              <w:spacing w:after="0" w:line="276"/>
              <w:jc w:val="center"/>
            </w:pPr>
            <w:r>
              <w:rPr>
                <w:b/>
                <w:bCs/>
                <w:color w:val="FFFFFF"/>
              </w:rPr>
              <w:t xml:space="preserve">심각도</w:t>
            </w:r>
          </w:p>
        </w:tc>
      </w:tr>
      <w:tr>
        <w:tc>
          <w:tcPr>
            <w:tcW w:type="dxa" w:w="560"/>
            <w:tcMar>
              <w:top w:type="dxa" w:w="60"/>
              <w:left w:type="dxa" w:w="80"/>
              <w:bottom w:type="dxa" w:w="60"/>
              <w:right w:type="dxa" w:w="80"/>
            </w:tcMar>
            <w:vAlign w:val="center"/>
          </w:tcPr>
          <w:p>
            <w:pPr>
              <w:spacing w:after="0" w:line="276"/>
              <w:jc w:val="center"/>
            </w:pPr>
            <w:r>
              <w:t xml:space="preserve">1</w:t>
            </w:r>
          </w:p>
        </w:tc>
        <w:tc>
          <w:tcPr>
            <w:tcW w:type="dxa" w:w="1620"/>
            <w:tcMar>
              <w:top w:type="dxa" w:w="60"/>
              <w:left w:type="dxa" w:w="80"/>
              <w:bottom w:type="dxa" w:w="60"/>
              <w:right w:type="dxa" w:w="80"/>
            </w:tcMar>
            <w:vAlign w:val="center"/>
          </w:tcPr>
          <w:p>
            <w:pPr>
              <w:spacing w:after="0" w:line="276"/>
            </w:pPr>
            <w:r>
              <w:t xml:space="preserve">6.1.1 &lt;표 6-1&gt; / 6.1.2 상세 / &lt;표 5-2&gt;</w:t>
            </w:r>
          </w:p>
        </w:tc>
        <w:tc>
          <w:tcPr>
            <w:tcW w:type="dxa" w:w="3206"/>
            <w:tcMar>
              <w:top w:type="dxa" w:w="60"/>
              <w:left w:type="dxa" w:w="80"/>
              <w:bottom w:type="dxa" w:w="60"/>
              <w:right w:type="dxa" w:w="80"/>
            </w:tcMar>
            <w:vAlign w:val="center"/>
          </w:tcPr>
          <w:p>
            <w:pPr>
              <w:spacing w:after="0" w:line="276"/>
            </w:pPr>
            <w:r>
              <w:t xml:space="preserve">데이터 타입을 VARCHAR/NUMBER/INT/CHAR/BOOLEAN로 규정하나 ID 217(SPAD)·ID 239(LEF)는 STRING으로 표기되어 선언되지 않은 타입을 쓰고, ID 23 이미지변환저장일자·ID 28 이미지촬영일시 등 날짜·시각 요소가 NUMBER/VARCHAR로 지정되어 타입 의미가 값과 불일치한다.</w:t>
            </w:r>
          </w:p>
        </w:tc>
        <w:tc>
          <w:tcPr>
            <w:tcW w:type="dxa" w:w="2780"/>
            <w:tcMar>
              <w:top w:type="dxa" w:w="60"/>
              <w:left w:type="dxa" w:w="80"/>
              <w:bottom w:type="dxa" w:w="60"/>
              <w:right w:type="dxa" w:w="80"/>
            </w:tcMar>
            <w:vAlign w:val="center"/>
          </w:tcPr>
          <w:p>
            <w:pPr>
              <w:spacing w:after="0" w:line="276"/>
            </w:pPr>
            <w:r>
              <w:t xml:space="preserve">STRING을 VARCHAR로 통일하는 등 타입 어휘를 일원화하고, 날짜·시각 요소에는 DATE/DATETIME 전용 타입을 도입해 타입과 값(예: 2023.12.15.)을 정합화한다.</w:t>
            </w:r>
          </w:p>
        </w:tc>
        <w:tc>
          <w:tcPr>
            <w:tcW w:type="dxa" w:w="860"/>
            <w:shd w:fill="FCE5CD" w:val="clear"/>
            <w:tcMar>
              <w:top w:type="dxa" w:w="60"/>
              <w:left w:type="dxa" w:w="80"/>
              <w:bottom w:type="dxa" w:w="60"/>
              <w:right w:type="dxa" w:w="80"/>
            </w:tcMar>
            <w:vAlign w:val="center"/>
          </w:tcPr>
          <w:p>
            <w:pPr>
              <w:spacing w:after="0" w:line="276"/>
              <w:jc w:val="center"/>
            </w:pPr>
            <w:r>
              <w:t xml:space="preserve">중간</w:t>
            </w:r>
          </w:p>
        </w:tc>
      </w:tr>
      <w:tr>
        <w:tc>
          <w:tcPr>
            <w:tcW w:type="dxa" w:w="560"/>
            <w:tcMar>
              <w:top w:type="dxa" w:w="60"/>
              <w:left w:type="dxa" w:w="80"/>
              <w:bottom w:type="dxa" w:w="60"/>
              <w:right w:type="dxa" w:w="80"/>
            </w:tcMar>
            <w:vAlign w:val="center"/>
          </w:tcPr>
          <w:p>
            <w:pPr>
              <w:spacing w:after="0" w:line="276"/>
              <w:jc w:val="center"/>
            </w:pPr>
            <w:r>
              <w:t xml:space="preserve">2</w:t>
            </w:r>
          </w:p>
        </w:tc>
        <w:tc>
          <w:tcPr>
            <w:tcW w:type="dxa" w:w="1620"/>
            <w:tcMar>
              <w:top w:type="dxa" w:w="60"/>
              <w:left w:type="dxa" w:w="80"/>
              <w:bottom w:type="dxa" w:w="60"/>
              <w:right w:type="dxa" w:w="80"/>
            </w:tcMar>
            <w:vAlign w:val="center"/>
          </w:tcPr>
          <w:p>
            <w:pPr>
              <w:spacing w:after="0" w:line="276"/>
            </w:pPr>
            <w:r>
              <w:t xml:space="preserve">6.1.2 상세 (ID 287·290·293·294·311 등)</w:t>
            </w:r>
          </w:p>
        </w:tc>
        <w:tc>
          <w:tcPr>
            <w:tcW w:type="dxa" w:w="3206"/>
            <w:tcMar>
              <w:top w:type="dxa" w:w="60"/>
              <w:left w:type="dxa" w:w="80"/>
              <w:bottom w:type="dxa" w:w="60"/>
              <w:right w:type="dxa" w:w="80"/>
            </w:tcMar>
            <w:vAlign w:val="center"/>
          </w:tcPr>
          <w:p>
            <w:pPr>
              <w:spacing w:after="0" w:line="276"/>
            </w:pPr>
            <w:r>
              <w:t xml:space="preserve">단위 전용 속성이 없어 ID 290 토양온도 10℃, ID 293 평균무게 5mg, ID 294 평균헤르츠 10 Hz, ID 311 흉위길이 50cm처럼 단위가 요소 설명·예시 텍스트에만 산재하고 데이터 타입은 일괄 NUMBER여서 기계 해석·환산이 불가하다.</w:t>
            </w:r>
          </w:p>
        </w:tc>
        <w:tc>
          <w:tcPr>
            <w:tcW w:type="dxa" w:w="2780"/>
            <w:tcMar>
              <w:top w:type="dxa" w:w="60"/>
              <w:left w:type="dxa" w:w="80"/>
              <w:bottom w:type="dxa" w:w="60"/>
              <w:right w:type="dxa" w:w="80"/>
            </w:tcMar>
            <w:vAlign w:val="center"/>
          </w:tcPr>
          <w:p>
            <w:pPr>
              <w:spacing w:after="0" w:line="276"/>
            </w:pPr>
            <w:r>
              <w:t xml:space="preserve">측정값 요소에 단위 전용 속성을 신설하고 QUDT/UCUM 단위 식별자를 부여해 단위를 값과 분리·표준화한다.</w:t>
            </w:r>
          </w:p>
        </w:tc>
        <w:tc>
          <w:tcPr>
            <w:tcW w:type="dxa" w:w="860"/>
            <w:shd w:fill="FCE5CD" w:val="clear"/>
            <w:tcMar>
              <w:top w:type="dxa" w:w="60"/>
              <w:left w:type="dxa" w:w="80"/>
              <w:bottom w:type="dxa" w:w="60"/>
              <w:right w:type="dxa" w:w="80"/>
            </w:tcMar>
            <w:vAlign w:val="center"/>
          </w:tcPr>
          <w:p>
            <w:pPr>
              <w:spacing w:after="0" w:line="276"/>
              <w:jc w:val="center"/>
            </w:pPr>
            <w:r>
              <w:t xml:space="preserve">중간</w:t>
            </w:r>
          </w:p>
        </w:tc>
      </w:tr>
      <w:tr>
        <w:tc>
          <w:tcPr>
            <w:tcW w:type="dxa" w:w="560"/>
            <w:tcMar>
              <w:top w:type="dxa" w:w="60"/>
              <w:left w:type="dxa" w:w="80"/>
              <w:bottom w:type="dxa" w:w="60"/>
              <w:right w:type="dxa" w:w="80"/>
            </w:tcMar>
            <w:vAlign w:val="center"/>
          </w:tcPr>
          <w:p>
            <w:pPr>
              <w:spacing w:after="0" w:line="276"/>
              <w:jc w:val="center"/>
            </w:pPr>
            <w:r>
              <w:t xml:space="preserve">3</w:t>
            </w:r>
          </w:p>
        </w:tc>
        <w:tc>
          <w:tcPr>
            <w:tcW w:type="dxa" w:w="1620"/>
            <w:tcMar>
              <w:top w:type="dxa" w:w="60"/>
              <w:left w:type="dxa" w:w="80"/>
              <w:bottom w:type="dxa" w:w="60"/>
              <w:right w:type="dxa" w:w="80"/>
            </w:tcMar>
            <w:vAlign w:val="center"/>
          </w:tcPr>
          <w:p>
            <w:pPr>
              <w:spacing w:after="0" w:line="276"/>
            </w:pPr>
            <w:r>
              <w:t xml:space="preserve">본문 2 인용 표준 / 서문 3 인용 표준과의 비교 / 부록 Ⅰ-4 참고문헌[1]</w:t>
            </w:r>
          </w:p>
        </w:tc>
        <w:tc>
          <w:tcPr>
            <w:tcW w:type="dxa" w:w="3206"/>
            <w:tcMar>
              <w:top w:type="dxa" w:w="60"/>
              <w:left w:type="dxa" w:w="80"/>
              <w:bottom w:type="dxa" w:w="60"/>
              <w:right w:type="dxa" w:w="80"/>
            </w:tcMar>
            <w:vAlign w:val="center"/>
          </w:tcPr>
          <w:p>
            <w:pPr>
              <w:spacing w:after="0" w:line="276"/>
            </w:pPr>
            <w:r>
              <w:t xml:space="preserve">인용 표준을 해당 사항 없음으로 선언하나, 서문 2장·5.1·5.2가 요소명·표시상수 표준화를 범정부 공공데이터베이스 표준화 관리 매뉴얼과 농촌진흥청 표준용어에 규범 의존했다고 밝히고 해당 매뉴얼을 참고문헌에만 둔다.</w:t>
            </w:r>
          </w:p>
        </w:tc>
        <w:tc>
          <w:tcPr>
            <w:tcW w:type="dxa" w:w="2780"/>
            <w:tcMar>
              <w:top w:type="dxa" w:w="60"/>
              <w:left w:type="dxa" w:w="80"/>
              <w:bottom w:type="dxa" w:w="60"/>
              <w:right w:type="dxa" w:w="80"/>
            </w:tcMar>
            <w:vAlign w:val="center"/>
          </w:tcPr>
          <w:p>
            <w:pPr>
              <w:spacing w:after="0" w:line="276"/>
            </w:pPr>
            <w:r>
              <w:t xml:space="preserve">NIA 공공데이터베이스 표준화 관리 매뉴얼·농촌진흥청 표준용어를 규범적 의존으로 보아 2 인용 표준에 인용표준으로 명시한다.</w:t>
            </w:r>
          </w:p>
        </w:tc>
        <w:tc>
          <w:tcPr>
            <w:tcW w:type="dxa" w:w="860"/>
            <w:shd w:fill="F4CCCC" w:val="clear"/>
            <w:tcMar>
              <w:top w:type="dxa" w:w="60"/>
              <w:left w:type="dxa" w:w="80"/>
              <w:bottom w:type="dxa" w:w="60"/>
              <w:right w:type="dxa" w:w="80"/>
            </w:tcMar>
            <w:vAlign w:val="center"/>
          </w:tcPr>
          <w:p>
            <w:pPr>
              <w:spacing w:after="0" w:line="276"/>
              <w:jc w:val="center"/>
            </w:pPr>
            <w:r>
              <w:t xml:space="preserve">높음</w:t>
            </w:r>
          </w:p>
        </w:tc>
      </w:tr>
      <w:tr>
        <w:tc>
          <w:tcPr>
            <w:tcW w:type="dxa" w:w="560"/>
            <w:tcMar>
              <w:top w:type="dxa" w:w="60"/>
              <w:left w:type="dxa" w:w="80"/>
              <w:bottom w:type="dxa" w:w="60"/>
              <w:right w:type="dxa" w:w="80"/>
            </w:tcMar>
            <w:vAlign w:val="center"/>
          </w:tcPr>
          <w:p>
            <w:pPr>
              <w:spacing w:after="0" w:line="276"/>
              <w:jc w:val="center"/>
            </w:pPr>
            <w:r>
              <w:t xml:space="preserve">4</w:t>
            </w:r>
          </w:p>
        </w:tc>
        <w:tc>
          <w:tcPr>
            <w:tcW w:type="dxa" w:w="1620"/>
            <w:tcMar>
              <w:top w:type="dxa" w:w="60"/>
              <w:left w:type="dxa" w:w="80"/>
              <w:bottom w:type="dxa" w:w="60"/>
              <w:right w:type="dxa" w:w="80"/>
            </w:tcMar>
            <w:vAlign w:val="center"/>
          </w:tcPr>
          <w:p>
            <w:pPr>
              <w:spacing w:after="0" w:line="276"/>
            </w:pPr>
            <w:r>
              <w:t xml:space="preserve">6.1.2 상세 (ID 46·176·248·266·301·302)</w:t>
            </w:r>
          </w:p>
        </w:tc>
        <w:tc>
          <w:tcPr>
            <w:tcW w:type="dxa" w:w="3206"/>
            <w:tcMar>
              <w:top w:type="dxa" w:w="60"/>
              <w:left w:type="dxa" w:w="80"/>
              <w:bottom w:type="dxa" w:w="60"/>
              <w:right w:type="dxa" w:w="80"/>
            </w:tcMar>
            <w:vAlign w:val="center"/>
          </w:tcPr>
          <w:p>
            <w:pPr>
              <w:spacing w:after="0" w:line="276"/>
            </w:pPr>
            <w:r>
              <w:t xml:space="preserve">ID 46 촬영부위코드(0,1,...,7)·ID 176 생육단계코드·ID 248 작물상태코드·ID 266 질병피해정도코드는 코드 도메인 정의가 없고, ID 301 품질당도등급명[A,B,C]·ID 302 품질등급 A,B,C는 enum이 예시문에만 있어 코드값이 규범적으로 고정되지 않는다.</w:t>
            </w:r>
          </w:p>
        </w:tc>
        <w:tc>
          <w:tcPr>
            <w:tcW w:type="dxa" w:w="2780"/>
            <w:tcMar>
              <w:top w:type="dxa" w:w="60"/>
              <w:left w:type="dxa" w:w="80"/>
              <w:bottom w:type="dxa" w:w="60"/>
              <w:right w:type="dxa" w:w="80"/>
            </w:tcMar>
            <w:vAlign w:val="center"/>
          </w:tcPr>
          <w:p>
            <w:pPr>
              <w:spacing w:after="0" w:line="276"/>
            </w:pPr>
            <w:r>
              <w:t xml:space="preserve">코드성 요소마다 허용값 코드표를 규범으로 정의하고 enum 값을 예시가 아닌 정식 코드리스트로 고정한다.</w:t>
            </w:r>
          </w:p>
        </w:tc>
        <w:tc>
          <w:tcPr>
            <w:tcW w:type="dxa" w:w="860"/>
            <w:shd w:fill="FCE5CD" w:val="clear"/>
            <w:tcMar>
              <w:top w:type="dxa" w:w="60"/>
              <w:left w:type="dxa" w:w="80"/>
              <w:bottom w:type="dxa" w:w="60"/>
              <w:right w:type="dxa" w:w="80"/>
            </w:tcMar>
            <w:vAlign w:val="center"/>
          </w:tcPr>
          <w:p>
            <w:pPr>
              <w:spacing w:after="0" w:line="276"/>
              <w:jc w:val="center"/>
            </w:pPr>
            <w:r>
              <w:t xml:space="preserve">중간</w:t>
            </w:r>
          </w:p>
        </w:tc>
      </w:tr>
      <w:tr>
        <w:tc>
          <w:tcPr>
            <w:tcW w:type="dxa" w:w="560"/>
            <w:tcMar>
              <w:top w:type="dxa" w:w="60"/>
              <w:left w:type="dxa" w:w="80"/>
              <w:bottom w:type="dxa" w:w="60"/>
              <w:right w:type="dxa" w:w="80"/>
            </w:tcMar>
            <w:vAlign w:val="center"/>
          </w:tcPr>
          <w:p>
            <w:pPr>
              <w:spacing w:after="0" w:line="276"/>
              <w:jc w:val="center"/>
            </w:pPr>
            <w:r>
              <w:t xml:space="preserve">5</w:t>
            </w:r>
          </w:p>
        </w:tc>
        <w:tc>
          <w:tcPr>
            <w:tcW w:type="dxa" w:w="1620"/>
            <w:tcMar>
              <w:top w:type="dxa" w:w="60"/>
              <w:left w:type="dxa" w:w="80"/>
              <w:bottom w:type="dxa" w:w="60"/>
              <w:right w:type="dxa" w:w="80"/>
            </w:tcMar>
            <w:vAlign w:val="center"/>
          </w:tcPr>
          <w:p>
            <w:pPr>
              <w:spacing w:after="0" w:line="276"/>
            </w:pPr>
            <w:r>
              <w:t xml:space="preserve">6.1.1 &lt;표 6-1&gt; / 6.1.2 상세 (ID 25·31·105·118·120·303)</w:t>
            </w:r>
          </w:p>
        </w:tc>
        <w:tc>
          <w:tcPr>
            <w:tcW w:type="dxa" w:w="3206"/>
            <w:tcMar>
              <w:top w:type="dxa" w:w="60"/>
              <w:left w:type="dxa" w:w="80"/>
              <w:bottom w:type="dxa" w:w="60"/>
              <w:right w:type="dxa" w:w="80"/>
            </w:tcMar>
            <w:vAlign w:val="center"/>
          </w:tcPr>
          <w:p>
            <w:pPr>
              <w:spacing w:after="0" w:line="276"/>
            </w:pPr>
            <w:r>
              <w:t xml:space="preserve">ID 25 Image Encryptopn Value·ID 120 Carcass Weigt 등 오탈자, ID 31 표시상수가 &lt;표 6-1&gt; IMG_FILE_TYPE·상세 IMAGE_FILE_TYPE, ID 303 풍속이 &lt;표 6-1&gt; ARVLTY·상세 TARVLTY로 불일치하고, ID 105 FDNG_MTHD_name·ID 118 DATAST_DETaiL의 대소문자 혼용 및 이지미·독판별 한글 오타가 있다.</w:t>
            </w:r>
          </w:p>
        </w:tc>
        <w:tc>
          <w:tcPr>
            <w:tcW w:type="dxa" w:w="2780"/>
            <w:tcMar>
              <w:top w:type="dxa" w:w="60"/>
              <w:left w:type="dxa" w:w="80"/>
              <w:bottom w:type="dxa" w:w="60"/>
              <w:right w:type="dxa" w:w="80"/>
            </w:tcMar>
            <w:vAlign w:val="center"/>
          </w:tcPr>
          <w:p>
            <w:pPr>
              <w:spacing w:after="0" w:line="276"/>
            </w:pPr>
            <w:r>
              <w:t xml:space="preserve">영문 요소명·표시상수의 오탈자를 교정하고 &lt;표 6-1&gt;과 6.1.2 상세 간 표시상수를 단일 표기로 통일하며 대소문자 규칙을 일관 적용한다.</w:t>
            </w:r>
          </w:p>
        </w:tc>
        <w:tc>
          <w:tcPr>
            <w:tcW w:type="dxa" w:w="860"/>
            <w:shd w:fill="FCE5CD" w:val="clear"/>
            <w:tcMar>
              <w:top w:type="dxa" w:w="60"/>
              <w:left w:type="dxa" w:w="80"/>
              <w:bottom w:type="dxa" w:w="60"/>
              <w:right w:type="dxa" w:w="80"/>
            </w:tcMar>
            <w:vAlign w:val="center"/>
          </w:tcPr>
          <w:p>
            <w:pPr>
              <w:spacing w:after="0" w:line="276"/>
              <w:jc w:val="center"/>
            </w:pPr>
            <w:r>
              <w:t xml:space="preserve">중간</w:t>
            </w:r>
          </w:p>
        </w:tc>
      </w:tr>
      <w:tr>
        <w:tc>
          <w:tcPr>
            <w:tcW w:type="dxa" w:w="560"/>
            <w:tcMar>
              <w:top w:type="dxa" w:w="60"/>
              <w:left w:type="dxa" w:w="80"/>
              <w:bottom w:type="dxa" w:w="60"/>
              <w:right w:type="dxa" w:w="80"/>
            </w:tcMar>
            <w:vAlign w:val="center"/>
          </w:tcPr>
          <w:p>
            <w:pPr>
              <w:spacing w:after="0" w:line="276"/>
              <w:jc w:val="center"/>
            </w:pPr>
            <w:r>
              <w:t xml:space="preserve">6</w:t>
            </w:r>
          </w:p>
        </w:tc>
        <w:tc>
          <w:tcPr>
            <w:tcW w:type="dxa" w:w="1620"/>
            <w:tcMar>
              <w:top w:type="dxa" w:w="60"/>
              <w:left w:type="dxa" w:w="80"/>
              <w:bottom w:type="dxa" w:w="60"/>
              <w:right w:type="dxa" w:w="80"/>
            </w:tcMar>
            <w:vAlign w:val="center"/>
          </w:tcPr>
          <w:p>
            <w:pPr>
              <w:spacing w:after="0" w:line="276"/>
            </w:pPr>
            <w:r>
              <w:t xml:space="preserve">&lt;표 5-2&gt; / 6.1.2 상세 / 서문 2장 · 6.1.1</w:t>
            </w:r>
          </w:p>
        </w:tc>
        <w:tc>
          <w:tcPr>
            <w:tcW w:type="dxa" w:w="3206"/>
            <w:tcMar>
              <w:top w:type="dxa" w:w="60"/>
              <w:left w:type="dxa" w:w="80"/>
              <w:bottom w:type="dxa" w:w="60"/>
              <w:right w:type="dxa" w:w="80"/>
            </w:tcMar>
            <w:vAlign w:val="center"/>
          </w:tcPr>
          <w:p>
            <w:pPr>
              <w:spacing w:after="0" w:line="276"/>
            </w:pPr>
            <w:r>
              <w:t xml:space="preserve">&lt;표 5-2&gt;는 우선순위를 M/R/O로, 관련 출처 속성을 정의하나 6.1.2 상세는 필수 여부를 Y/N/-/Y 또는 N으로 표기하고 관련 출처 칸을 누락한다. 요소 총수도 국문 서문 308개·6.1.1 본문 313개·&lt;표 6-1&gt; 실제 311까지로 모두 다르다.</w:t>
            </w:r>
          </w:p>
        </w:tc>
        <w:tc>
          <w:tcPr>
            <w:tcW w:type="dxa" w:w="2780"/>
            <w:tcMar>
              <w:top w:type="dxa" w:w="60"/>
              <w:left w:type="dxa" w:w="80"/>
              <w:bottom w:type="dxa" w:w="60"/>
              <w:right w:type="dxa" w:w="80"/>
            </w:tcMar>
            <w:vAlign w:val="center"/>
          </w:tcPr>
          <w:p>
            <w:pPr>
              <w:spacing w:after="0" w:line="276"/>
            </w:pPr>
            <w:r>
              <w:t xml:space="preserve">우선순위(M/R/O)와 필수 여부(Y/N) 표기를 단일 체계로 통합하고 관련 출처 속성을 상세에 복원하며 요소 총수를 실제 ID 수(311)로 일치시킨다.</w:t>
            </w:r>
          </w:p>
        </w:tc>
        <w:tc>
          <w:tcPr>
            <w:tcW w:type="dxa" w:w="860"/>
            <w:shd w:fill="F4CCCC" w:val="clear"/>
            <w:tcMar>
              <w:top w:type="dxa" w:w="60"/>
              <w:left w:type="dxa" w:w="80"/>
              <w:bottom w:type="dxa" w:w="60"/>
              <w:right w:type="dxa" w:w="80"/>
            </w:tcMar>
            <w:vAlign w:val="center"/>
          </w:tcPr>
          <w:p>
            <w:pPr>
              <w:spacing w:after="0" w:line="276"/>
              <w:jc w:val="center"/>
            </w:pPr>
            <w:r>
              <w:t xml:space="preserve">높음</w:t>
            </w:r>
          </w:p>
        </w:tc>
      </w:tr>
    </w:tbl>
    <w:p>
      <w:pPr>
        <w:pStyle w:val="Heading2"/>
      </w:pPr>
      <w:r>
        <w:t xml:space="preserve">2.1 데이터 타입 정의 오류 (심각도 중간)</w:t>
      </w:r>
    </w:p>
    <w:p>
      <w:pPr>
        <w:spacing w:after="140" w:line="300"/>
      </w:pPr>
      <w:r>
        <w:t xml:space="preserve">&lt;표 5-2&gt;와 &lt;표 6-1&gt;은 데이터 타입을 VARCHAR/NUMBER/INT/CHAR/BOOLEAN의 RDBMS 타입 체계로 규정한다. 그러나 ID 217 엽록소함량(SPAD)과 ID 239 잎(LEF)은 타입이 STRING으로 표기되어 표준이 선언하지 않은 타입을 도입한다. 또한 ID 23 이미지변환저장일자(NUMBER, 예시 2023.12.15.), ID 28 이미지촬영일시(VARCHAR, 예시 YYYY:MM:DD HH24:MI:SS) 등 날짜·시각 요소가 날짜형이 아닌 NUMBER/VARCHAR로 지정되어 타입 의미와 값이 어긋난다. 타입 어휘 통일과 날짜·시각 전용 타입 도입이 요구된다.</w:t>
      </w:r>
    </w:p>
    <w:p>
      <w:pPr>
        <w:pStyle w:val="Heading2"/>
      </w:pPr>
      <w:r>
        <w:t xml:space="preserve">2.2 단위 표기 모호성 (심각도 중간)</w:t>
      </w:r>
    </w:p>
    <w:p>
      <w:pPr>
        <w:spacing w:after="140" w:line="300"/>
      </w:pPr>
      <w:r>
        <w:t xml:space="preserve">측정값 요소에 단위 전용 속성이 없어 단위가 요소 설명·예시의 자유 텍스트에만 존재한다. ID 290 토양온도 10℃, ID 311 흉위길이 50cm, ID 293 평균무게 5mg, ID 294 평균헤르츠 10 Hz, ID 287 토양수분값 5-50%가 그 예이며 데이터 타입은 일괄 NUMBER다. 동일 속성에 단위가 다른 사례(℃, cm, mg, Hz, %)가 자유 서술로 혼재해 값의 기계 해석·환산이 불가능하다.</w:t>
      </w:r>
    </w:p>
    <w:p>
      <w:pPr>
        <w:pStyle w:val="Heading2"/>
      </w:pPr>
      <w:r>
        <w:t xml:space="preserve">2.3 인용/준용표준 분류 오류 (심각도 높음)</w:t>
      </w:r>
    </w:p>
    <w:p>
      <w:pPr>
        <w:spacing w:after="140" w:line="300"/>
      </w:pPr>
      <w:r>
        <w:t xml:space="preserve">본문 2 인용 표준과 서문 3 인용 표준과의 비교는 모두 해당 사항 없음으로 선언한다. 그러나 서문 2장과 5.1·5.2는 요소명(컬럼명)·표시상수 표준화를 범정부(공공데이터베이스 표준화 관리 매뉴얼) 및 기관(농촌진흥청) 표준용어에 준거해 수행했다고 명시하고, 부록 Ⅰ-4 참고문헌 [1]에 NIA 공공데이터베이스 표준화 관리 매뉴얼을 둔다. 명명규칙·어휘를 외부 문서에 규범적으로 의존하면서 이를 인용표준이 아닌 참고문헌으로만 처리한 것은 분류 오류다.</w:t>
      </w:r>
    </w:p>
    <w:p>
      <w:pPr>
        <w:pStyle w:val="Heading2"/>
      </w:pPr>
      <w:r>
        <w:t xml:space="preserve">2.4 코드/enum 정의 오류 (심각도 중간)</w:t>
      </w:r>
    </w:p>
    <w:p>
      <w:pPr>
        <w:spacing w:after="140" w:line="300"/>
      </w:pPr>
      <w:r>
        <w:t xml:space="preserve">코드·등급 enum을 전제하는 요소가 다수이나 허용값표가 부재하다. ID 46 촬영부위코드(예시 0,1,...,7), ID 176 생육단계코드, ID 248 작물상태코드, ID 266 질병피해정도코드는 코드 도메인 정의가 없고, ID 302 품질등급·ID 301 품질당도등급명은 A,B,C가 예시문에만 등장해 규범적 enum이 고정되지 않는다. 코드성 요소에 대한 코드표·허용값 목록의 규범화가 필요하다.</w:t>
      </w:r>
    </w:p>
    <w:p>
      <w:pPr>
        <w:pStyle w:val="Heading2"/>
      </w:pPr>
      <w:r>
        <w:t xml:space="preserve">2.5 오타·표기 불일치 (심각도 중간)</w:t>
      </w:r>
    </w:p>
    <w:p>
      <w:pPr>
        <w:spacing w:after="140" w:line="300"/>
      </w:pPr>
      <w:r>
        <w:t xml:space="preserve">영문 요소명·표시상수에 오탈자와 표기 불일치가 광범위하다. ID 25 Image Encryptopn Value, ID 120 Carcass Weigt, ID 31 표시상수가 &lt;표 6-1&gt;은 IMG_FILE_TYPE·상세는 IMAGE_FILE_TYPE, ID 303 풍속 표시상수가 &lt;표 6-1&gt; ARVLTY·상세 TARVLTY, ID 105 FDNG_MTHD_name·ID 118 DATAST_DETaiL의 대소문자 혼용이 확인된다. 본문에도 이지미파일정보, 동의보감 독판별 등 한글 오타가 있다.</w:t>
      </w:r>
    </w:p>
    <w:p>
      <w:pPr>
        <w:pStyle w:val="Heading2"/>
      </w:pPr>
      <w:r>
        <w:t xml:space="preserve">2.6 내부 일관성 (심각도 높음)</w:t>
      </w:r>
    </w:p>
    <w:p>
      <w:pPr>
        <w:spacing w:after="140" w:line="300"/>
      </w:pPr>
      <w:r>
        <w:t xml:space="preserve">속성 모델과 집계가 본문 내부에서 충돌한다. &lt;표 5-2&gt;는 우선 순위를 M(필수)/R(권고)/O(선택)로, 별도 속성 관련 출처(인용 출처)를 정의하나, 6.1.2 상세는 우선순위 대신 필수 여부를 Y/N/-/Y 또는 N/Y 또는 N(데이터 세트 참조)로 표기하고 관련 출처 칸 자체를 누락한다. 요소 총수도 국문 서문 308개(이미지66·어노242), 6.1.1 본문 313개(이미지67·어노247), &lt;표 6-1&gt; 실제 ID 311까지로 세 군데가 모두 다르다.</w:t>
      </w:r>
    </w:p>
    <w:p>
      <w:pPr>
        <w:pStyle w:val="Heading1"/>
      </w:pPr>
      <w:r>
        <w:t xml:space="preserve">3. 점검 통과(N) · 비해당(N/A) 항목</w:t>
      </w:r>
    </w:p>
    <w:p>
      <w:pPr>
        <w:spacing w:after="140" w:line="300"/>
      </w:pPr>
      <w:r>
        <w:t xml:space="preserve">아래 항목은 검사 대상이 있었으나 결함이 발견되지 않았거나(N), 이 표준의 성격상 적용 대상이 아닌(N/A) 항목이다.</w:t>
      </w:r>
    </w:p>
    <w:p>
      <w:pPr>
        <w:pStyle w:val="ListParagraph"/>
        <w:numPr>
          <w:ilvl w:val="0"/>
          <w:numId w:val="0"/>
        </w:numPr>
        <w:spacing w:after="80" w:line="290"/>
        <w:ind w:left="360" w:hanging="220"/>
      </w:pPr>
      <w:r>
        <w:t xml:space="preserve">• </w:t>
      </w:r>
      <w:r>
        <w:rPr>
          <w:b/>
          <w:bCs/>
        </w:rPr>
        <w:t xml:space="preserve">기타</w:t>
      </w:r>
      <w:r>
        <w:t xml:space="preserve"> — (N/A · 비해당) 결함 1~6 유형으로 식별된 모든 결함이 포섭되며, 그 외 별도 유형의 결함은 발견되지 않았다.</w:t>
      </w:r>
    </w:p>
    <w:p>
      <w:pPr>
        <w:pStyle w:val="Heading1"/>
      </w:pPr>
      <w:r>
        <w:t xml:space="preserve">4. 조치 우선순위</w:t>
      </w:r>
    </w:p>
    <w:p>
      <w:pPr>
        <w:spacing w:after="140" w:line="300"/>
      </w:pPr>
      <w:r>
        <w:t xml:space="preserve">조치 우선순위는 (1) 인용/준용표준 분류 오류 — NIA 공공DB 표준화 매뉴얼·농촌진흥청 표준용어를 규범 의존으로 인용표준에 명시, (2) 내부 일관성 — 우선순위(M/R/O)와 필수 여부(Y/N) 이원화 정리, 관련 출처 속성 복원, 요소 총수(308/313/311) 정합화, (3) 데이터 타입·단위·코드 정의 오류 — STRING/NUMBER 타입 어휘 통일, 단위·코드 도메인의 규범적 정의 순으로 둔다. 분류·일관성 결함이 표준의 신뢰성에 직접 영향을 주므로 최우선이다.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2026-06-22T06:18:39.213Z</dcterms:created>
  <dcterms:modified xsi:type="dcterms:W3CDTF">2026-06-22T06:18:39.213Z</dcterms:modified>
</cp:coreProperties>
</file>

<file path=docProps/custom.xml><?xml version="1.0" encoding="utf-8"?>
<Properties xmlns="http://schemas.openxmlformats.org/officeDocument/2006/custom-properties" xmlns:vt="http://schemas.openxmlformats.org/officeDocument/2006/docPropsVTypes"/>
</file>