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AI-Ready 메타데이터 관점에서 본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철강 제조데이터 공유 메타데이터 표준 분석 보고서</w:t>
      </w:r>
    </w:p>
    <w:p>
      <w:pPr>
        <w:spacing w:after="40"/>
        <w:jc w:val="center"/>
      </w:pPr>
      <w:r>
        <w:rPr>
          <w:b/>
          <w:bCs/>
          <w:sz w:val="23"/>
          <w:szCs w:val="23"/>
        </w:rPr>
        <w:t xml:space="preserve">철강산업 기업간 제조업무 데이터 공유를 위한 메타데이터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TTAK.KO-10.1571 (제정 2025.06.27.) · PG606</w:t>
      </w:r>
    </w:p>
    <w:p>
      <w:pPr>
        <w:spacing w:after="240"/>
        <w:jc w:val="center"/>
      </w:pPr>
      <w:r>
        <w:t>7개 구성요소 프레임워크 기반 상세 분석 · 성숙도 3/12 ≈ 25%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표준은 철강산업 제선·제강·압연 공정의 기업업무시스템 간 데이터 공유를 위해 제조업무 데이터요소를 한글 표준용어명·표준영문명·표준영문약어·정의·데이터 유형으로 정리한 데이터요소 사전이며, 부속서 A에서 표준단어→표준도메인→표준용어의 명명·구성 규칙을 규범으로 제시한다. 분류체계는 레벨1(조업관리)~레벨3(원료·소결·화성·고로·정련·연주·열연·냉연 등)의 3계층이다.</w:t>
      </w:r>
    </w:p>
    <w:p>
      <w:pPr>
        <w:spacing w:after="140" w:line="300"/>
      </w:pPr>
      <w:r>
        <w:t>AI-Ready 관점의 출발점은 낮다. 전역 어휘(IRI) 바인딩·RDF/온톨로지·규범 직렬화가 전무하여 시맨틱 0·신태틱 0이며, 보정표상 1530(2/12)보다 약간 높고 1595(5/14)보다 낮은 3/12(25%) 수준이다. 즉 1595·0976처럼 '내용은 방대하나 형식이 미성숙'한 표·산문형 표준 군에 속하되, 단위·품질·코드 유효값까지 비어 있어 형식 성숙도는 그 하단에 위치한다.</w:t>
      </w:r>
    </w:p>
    <w:p>
      <w:pPr>
        <w:spacing w:after="140" w:line="300"/>
      </w:pPr>
      <w:r>
        <w:t xml:space="preserve">핵심 진단은 '풍부한 도메인 사전 + 미형식화'다. 부속서 A의 표준화 방법론과 3계층 분류체계라는 데이터모델 골격(데이터모델 1)은 갖췄으나, 의미가 로컬 약어·산문에 갇혀 있고 단위·코드·품질·접근제약이 비정형이다. 전환 경로는 분류체계의 그래프화→요소 IRI 부여→단위·코드의 표준 어휘 결합→JSON-LD 직렬화 순으로 단계화할 수 있다.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800"/>
        <w:gridCol w:w="1100"/>
        <w:gridCol w:w="6126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11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1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한 줄 의미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전환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의미·구조를 적는 표준 직렬화 형식(JSON-LD·RDF 등)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누가·언제·어떤 과정으로 생성·가공됐는지 이력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정확도·결측·이상치 등 품질을 형식 어휘로 기술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신규</w:t>
            </w:r>
          </w:p>
        </w:tc>
        <w:tc>
          <w:tcPr>
            <w:tcW w:type="dxa" w:w="61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라이선스·접근 권한·이용 조건을 데이터에 결합</w:t>
            </w:r>
          </w:p>
        </w:tc>
      </w:tr>
    </w:tbl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>AI-Ready 표현의 바탕에는 W3C의 RDF 데이터 모델이 있다. RDF는 모든 사실을 ‘주어–서술어–목적어’ 트리플로 적고, 각 개념을 IRI(웹 주소 형태의 고유 이름)로 가리켜 누구나 같은 개념을 같은 주소로 참조하게 한다. 이를 파일로 적는 형식이 직렬화인데, 기존 JSON에 의미를 더하는 JSON-LD의 @context는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140" w:line="300"/>
      </w:pPr>
      <w:r>
        <w:rPr>
          <w:b/>
          <w:bCs/>
        </w:rPr>
        <w:t xml:space="preserve">DCAT v3 · schema.org · SKOS (W3C · community)</w:t>
      </w:r>
      <w:r>
        <w:t xml:space="preserve"> DCAT는 데이터셋·배포본을 기술하는 카탈로그 어휘(dcat:Dataset·dcat:distribution·dct:title 등), schema.org는 범용 의미 어휘, SKOS는 통제어·분류체계를 표현하는 어휘다.</w:t>
      </w:r>
    </w:p>
    <w:p>
      <w:pPr>
        <w:spacing w:after="140" w:line="300"/>
      </w:pPr>
      <w:r>
        <w:rPr>
          <w:b/>
          <w:bCs/>
        </w:rPr>
        <w:t xml:space="preserve">PROV-O (W3C)</w:t>
      </w:r>
      <w:r>
        <w:t xml:space="preserve"> 데이터의 출처·생성 이력(계보)을 표현하는 표준. prov:Activity·prov:wasGeneratedBy·wasDerivedFrom·wasAttributedTo로 ‘무엇이 어떤 활동으로 누구에 의해 생성·파생됐는가’를 그래프로 남긴다.</w:t>
      </w:r>
    </w:p>
    <w:p>
      <w:pPr>
        <w:spacing w:after="140" w:line="300"/>
      </w:pPr>
      <w:r>
        <w:rPr>
          <w:b/>
          <w:bCs/>
        </w:rPr>
        <w:t xml:space="preserve">DQV · SHACL (W3C)</w:t>
      </w:r>
      <w:r>
        <w:t xml:space="preserve"> DQV는 데이터 품질을 형식적으로 기술하는 어휘(dqv:Dimension·dqv:QualityMeasurement)이고, SHACL은 RDF가 규칙(필수 항목·값 범위·열거값)을 지키는지 자동 검증하는 표준이다.</w:t>
      </w:r>
    </w:p>
    <w:p>
      <w:pPr>
        <w:spacing w:after="140" w:line="300"/>
      </w:pPr>
      <w:r>
        <w:rPr>
          <w:b/>
          <w:bCs/>
        </w:rPr>
        <w:t xml:space="preserve">QUDT/UCUM · Croissant · ODRL (QUDT.org · MLCommons · W3C)</w:t>
      </w:r>
      <w:r>
        <w:t xml:space="preserve"> QUDT/UCUM은 단위·물리량을 IRI 또는 파싱 가능한 코드로, Croissant는 ML 데이터셋을 JSON-LD로 포장하는 형식, ODRL은 라이선스·이용 조건을 기계가 추론할 정책으로 표현한다.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예시(JSON-LD·PROV-O 등)를 덧붙인다.</w:t>
      </w:r>
    </w:p>
    <w:p>
      <w:pPr>
        <w:pStyle w:val="Heading2"/>
      </w:pPr>
      <w:r>
        <w:t xml:space="preserve">3.1 시맨틱 (0 · 미충족)</w:t>
      </w:r>
    </w:p>
    <w:p>
      <w:pPr>
        <w:spacing w:after="140" w:line="300"/>
      </w:pPr>
      <w:r>
        <w:t xml:space="preserve">3.1 현재 상태 — 개념 의미가 표준용어명·정의 산문과 로컬 약어(ORETP_CD 등)로만 표현되고 IRI 바인딩이 없다(시맨틱 0).</w:t>
      </w:r>
    </w:p>
    <w:p>
      <w:pPr>
        <w:spacing w:after="140" w:line="300"/>
      </w:pPr>
      <w:r>
        <w:t xml:space="preserve">각 표준용어와 분류어 도메인에 안정 IRI를 부여하고, 핵심 개념(광종·코일·온도 등)을 SKOS 개념 또는 schema.org/외부 산업 온톨로지 용어에 바인딩하여 의미를 전역 식별자로 고정한다.</w:t>
      </w:r>
    </w:p>
    <w:p>
      <w:pPr>
        <w:pStyle w:val="Heading2"/>
      </w:pPr>
      <w:r>
        <w:t>3.2 데이터 모델 (1 · 부분)</w:t>
      </w:r>
    </w:p>
    <w:p>
      <w:pPr>
        <w:spacing w:after="140" w:line="300"/>
      </w:pPr>
      <w:r>
        <w:t>데이터형식(string·numeric·datetime·boolean)·표준도메인을 표로 정의하나(4종↔7종 불일치는 검토 의견 참조) 검증 스키마가 없다.</w:t>
      </w:r>
    </w:p>
    <w:p>
      <w:pPr>
        <w:spacing w:after="140" w:line="300"/>
      </w:pPr>
      <w:r>
        <w:t>타입 집합을 정합화하고 SHACL로 값 제약을 형식화한다.</w:t>
      </w:r>
    </w:p>
    <w:p>
      <w:pPr>
        <w:pStyle w:val="Heading2"/>
      </w:pPr>
      <w:r>
        <w:t xml:space="preserve">3.3 신태틱 (0 · 미충족)</w:t>
      </w:r>
    </w:p>
    <w:p>
      <w:pPr>
        <w:spacing w:after="140" w:line="300"/>
      </w:pPr>
      <w:r>
        <w:t xml:space="preserve">3.3 현재 상태 — 직렬화 규범이 없고 PDF 표로만 배포된다(신태틱 0). IRI/RDF/JSON/XML 출현 0건.</w:t>
      </w:r>
    </w:p>
    <w:p>
      <w:pPr>
        <w:spacing w:after="140" w:line="300"/>
      </w:pPr>
      <w:r>
        <w:t xml:space="preserve">메타데이터 사전을 JSON-LD(또는 Croissant) 규범 직렬화로 함께 발행하고, 요소 식별자·타입·도메인·출처를 기계가독 컨텍스트로 제공해 시스템 간 자동 교환을 가능하게 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철강산업 기업간 제조데이터 공유 메타데이터를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t xml:space="preserve">3.5 현재 상태 — 용어 정의에 [출처] 필드가 있어 정의 출처는 일부 기록하나(3.43 ISO/IEC 11179-1 등) 데이터 계보는 없다(출처/계보 1).</w:t>
      </w:r>
    </w:p>
    <w:p>
      <w:pPr>
        <w:spacing w:after="140" w:line="300"/>
      </w:pPr>
      <w:r>
        <w:t xml:space="preserve">데이터요소의 출처·생성·가공 이력을 PROV-O로 형식화하고, 정의 출처 [출처] 필드를 IRI 기반 인용으로 연결해 정의-데이터 양 계보를 추적 가능하게 한다.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t xml:space="preserve">3.6 현재 상태 — 품질 차원·측정 신뢰도를 표현하는 메타데이터가 부재하다(품질 프로파일 0).</w:t>
      </w:r>
    </w:p>
    <w:p>
      <w:pPr>
        <w:spacing w:after="140" w:line="300"/>
      </w:pPr>
      <w:r>
        <w:t xml:space="preserve">공유 데이터셋·요소 수준에 DQV 품질 차원(완전성·정확성·정밀도·적시성)과 측정 결과를 부여해 수요자가 품질을 기계가독으로 평가하도록 한다.</w:t>
      </w:r>
    </w:p>
    <w:p>
      <w:pPr>
        <w:pStyle w:val="Heading2"/>
      </w:pPr>
      <w:r>
        <w:t xml:space="preserve">3.7 접근/사용 제약 (1 · 부분)</w:t>
      </w:r>
    </w:p>
    <w:p>
      <w:pPr>
        <w:spacing w:after="140" w:line="300"/>
      </w:pPr>
      <w:r>
        <w:t xml:space="preserve">3.7 현재 상태 — 문서 수준 저작권 고지(표지·부록 Ⅰ-1)만 있고 데이터 수준 라이선스·공유조건이 없다(접근/사용 제약 1).</w:t>
      </w:r>
    </w:p>
    <w:p>
      <w:pPr>
        <w:spacing w:after="140" w:line="300"/>
      </w:pPr>
      <w:r>
        <w:t xml:space="preserve">표준 목적인 '기업간 공유'에 맞춰 DCAT 데이터셋 메타데이터에 ODRL 라이선스·접근권·공유조건(허용/금지/의무)을 데이터 수준으로 명시한다.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권고 전환 방식은 다음 순서로 둔다: 1) 부속서 A의 4종 타입 선언과 본문 표를 정합화하고 Code/Date/Time을 재매핑한다. 2) 표준용어·도메인·분류체계에 IRI를 부여해 SKOS/DCAT로 그래프화한다. 3) 물리량 요소에 UCUM/QUDT 단위를, 코드 요소에 표준 코드 유효값을 결합한다. 4) 사전을 JSON-LD로 규범 직렬화하여 발행한다. 5) [출처]·데이터 계보를 PROV-O, 품질을 DQV, 공유조건을 ODRL로 확장한다.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/>
      </w:tblPr>
      <w:tblGrid>
        <w:gridCol w:w="1700"/>
        <w:gridCol w:w="2300"/>
        <w:gridCol w:w="3526"/>
        <w:gridCol w:w="1500"/>
      </w:tblGrid>
      <w:tr>
        <w:trPr>
          <w:tblHeader/>
        </w:trPr>
        <w:tc>
          <w:tcPr>
            <w:tcW w:type="dxa" w:w="17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구성요소</w:t>
            </w:r>
          </w:p>
        </w:tc>
        <w:tc>
          <w:tcPr>
            <w:tcW w:type="dxa" w:w="23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연결 표준</w:t>
            </w:r>
          </w:p>
        </w:tc>
        <w:tc>
          <w:tcPr>
            <w:tcW w:type="dxa" w:w="3526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핵심 조치</w:t>
            </w:r>
          </w:p>
        </w:tc>
        <w:tc>
          <w:tcPr>
            <w:tcW w:type="dxa" w:w="1500"/>
            <w:shd w:fill="2E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</w:rPr>
              <w:t xml:space="preserve">현재 등급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SKOS·schema.org(개념별 IRI 바인딩)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의미·상하/포함 관계를 어휘 IRI에 바인딩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 모델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XSD·SHACL·JSON Schema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값 유형·제약·반복을 스키마로 형식화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신태틱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JSON-LD·Croissant(규범 직렬화 제공)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메타데이터 사전을 JSON-LD(또는 Croissant) 규범 직렬화로 함께 발행하고, 요소 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운영 시맨틱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Croissant 1.0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— ML 사용 시 Croissant 포장 계층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>비해당 · N/A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출처/계보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PROV-O(데이터 계보 형식화)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데이터요소의 출처·생성·가공 이력을 PROV-O로 형식화하고, 정의 출처 [출처] 필드를 IR…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품질 프로파일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DQV(품질 차원·측정 형식화)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공유 데이터셋·요소 수준에 DQV 품질 차원(완전성·정확성·정밀도·적시성)과 측정 결과를 부여…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0 · 미충족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접근/사용 제약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DCAT v3·ODRL(데이터 수준 라이선스·접근권)</w:t>
            </w:r>
          </w:p>
        </w:tc>
        <w:tc>
          <w:tcPr>
            <w:tcW w:type="dxa" w:w="3526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표준 목적인 '기업간 공유'에 맞춰 DCAT 데이터셋 메타데이터에 ODRL 라이선스·접근권·공…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</w:pPr>
            <w:r>
              <w:t xml:space="preserve">1 · 부분</w:t>
            </w:r>
          </w:p>
        </w:tc>
      </w:tr>
    </w:tbl>
    <w:p>
      <w:pPr>
        <w:pStyle w:val="Heading1"/>
      </w:pPr>
      <w:r>
        <w:t xml:space="preserve">6. 맺음말</w:t>
      </w:r>
    </w:p>
    <w:p>
      <w:pPr>
        <w:spacing w:after="140" w:line="300"/>
      </w:pPr>
      <w:r>
        <w:t>이 표준은 철강 제조업무 데이터 어휘를 체계적 분류체계와 명명 규칙으로 집대성한 강점이 분명하나, 의미·단위·코드·계보·품질·접근제약이 모두 비정형이어서 AI-Ready 성숙도는 3/12(약 25%)에 머문다. 타입 정합화와 인용표준 정정이라는 결함 해소를 출발점으로, 분류체계 그래프화와 JSON-LD 직렬화를 더하면 동일 사전 자산을 기계가독 공유 메타데이터로 전환할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2026-06-22T06:18:39.219Z</dcterms:created>
  <dcterms:modified xsi:type="dcterms:W3CDTF">2026-06-22T06:18:39.219Z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