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표준 검토 의견서</w:t>
      </w:r>
    </w:p>
    <w:p>
      <w:pPr>
        <w:spacing w:after="40"/>
        <w:jc w:val="center"/>
      </w:pPr>
      <w:r>
        <w:rPr>
          <w:b/>
          <w:bCs/>
          <w:sz w:val="23"/>
          <w:szCs w:val="23"/>
        </w:rPr>
        <w:t xml:space="preserve">철강산업 기업간 제조업무 데이터 공유를 위한 메타데이터</w:t>
      </w:r>
    </w:p>
    <w:p>
      <w:pPr>
        <w:spacing w:after="240"/>
        <w:jc w:val="center"/>
      </w:pPr>
      <w:r>
        <w:rPr>
          <w:color w:val="666666"/>
          <w:sz w:val="20"/>
          <w:szCs w:val="20"/>
        </w:rPr>
        <w:t xml:space="preserve">TTAK.KO-10.1571 (제정일 2025.06.27.) · PG606</w:t>
      </w:r>
    </w:p>
    <w:p>
      <w:pPr>
        <w:pStyle w:val="Heading1"/>
      </w:pPr>
      <w:r>
        <w:t xml:space="preserve">1. 검토 개요와 방법</w:t>
      </w:r>
    </w:p>
    <w:p>
      <w:pPr>
        <w:spacing w:after="140" w:line="300"/>
      </w:pPr>
      <w:r>
        <w:t xml:space="preserve">이 검토는 TTAK.KO-10.1571 「철강산업 기업간 제조업무 데이터 공유를 위한 메타데이터」 전문(서문·본문 6개 절·부속서 A·부록 Ⅰ-1~Ⅰ-6, 총 196쪽)을 대상으로 한다. 표준은 제선·제강·압연 공정의 제조업무 데이터요소를 한글 표준용어명·표준영문명·표준영문약어·정의·데이터 유형으로 기술한 데이터요소 사전형 메타데이터이며(제선 110개, 압연 328개 등), 부속서 A에서 표준단어·표준도메인·표준용어 표준화 지침을 규범으로 제공한다.</w:t>
      </w:r>
    </w:p>
    <w:p>
      <w:pPr>
        <w:spacing w:after="140" w:line="300"/>
      </w:pPr>
      <w:r>
        <w:t xml:space="preserve">결함은 7유형 중 6유형이 Y, 1유형(기타)이 N으로 나타났다. Y는 해당 결함이 실재함, N은 검사 대상이 있으나 통과, N/A는 유형 자체가 비해당임을 뜻한다. 핵심 결함은 데이터 타입 집합의 선언-사용 불일치(A.5.1↔본문 표), 단위 표기 부재, 인용표준 분류 누락, 코드 유효값 미정의에 집중되며 대부분 규칙화 시 부분 자동검사가 가능하다.</w:t>
      </w:r>
    </w:p>
    <w:p>
      <w:pPr>
        <w:pStyle w:val="Heading1"/>
      </w:pPr>
      <w:r>
        <w:t xml:space="preserve">2. 발견 사항 — 요약과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/>
      </w:tblPr>
      <w:tblGrid>
        <w:gridCol w:w="560"/>
        <w:gridCol w:w="1620"/>
        <w:gridCol w:w="3206"/>
        <w:gridCol w:w="2780"/>
        <w:gridCol w:w="860"/>
      </w:tblGrid>
      <w:tr>
        <w:trPr>
          <w:tblHeader/>
        </w:trPr>
        <w:tc>
          <w:tcPr>
            <w:tcW w:type="dxa" w:w="56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번호</w:t>
            </w:r>
          </w:p>
        </w:tc>
        <w:tc>
          <w:tcPr>
            <w:tcW w:type="dxa" w:w="162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위치</w:t>
            </w:r>
          </w:p>
        </w:tc>
        <w:tc>
          <w:tcPr>
            <w:tcW w:type="dxa" w:w="3206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문제점</w:t>
            </w:r>
          </w:p>
        </w:tc>
        <w:tc>
          <w:tcPr>
            <w:tcW w:type="dxa" w:w="278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수정 권고</w:t>
            </w:r>
          </w:p>
        </w:tc>
        <w:tc>
          <w:tcPr>
            <w:tcW w:type="dxa" w:w="86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심각도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1</w:t>
            </w:r>
          </w:p>
        </w:tc>
        <w:tc>
          <w:tcPr>
            <w:tcW w:type="dxa" w:w="1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부속서 A.5.1 · 표 A.6-2 / 본문 표 6-1~6-3 '데이터 유형' 열</w:t>
            </w:r>
          </w:p>
        </w:tc>
        <w:tc>
          <w:tcPr>
            <w:tcW w:type="dxa" w:w="320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A.5.1과 표 A.6-2 '데이터형식'은 타입을 string·numeric·datetime·boolean 4종으로 한정하나, 본문 표 6-1~6-3은 미선언 타입 Code(34건)·Date(9건)·Time(34건)을 사용한다(예: 6.1-7 광종코드 ORETP_CD=Code). 'Datetime'(76)/'datetime'(2) 대소문자 혼재도 있다.</w:t>
            </w:r>
          </w:p>
        </w:tc>
        <w:tc>
          <w:tcPr>
            <w:tcW w:type="dxa" w:w="2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선언 타입 집합과 본문 사용을 정합화한다. Code/Date/Time을 4종 체계로 재매핑(또는 선언 집합을 확장)하고 Datetime 표기를 단일화한다.</w:t>
            </w:r>
          </w:p>
        </w:tc>
        <w:tc>
          <w:tcPr>
            <w:tcW w:type="dxa" w:w="860"/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높음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2</w:t>
            </w:r>
          </w:p>
        </w:tc>
        <w:tc>
          <w:tcPr>
            <w:tcW w:type="dxa" w:w="1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부속서 A.5.1 / 본문 표 6-1~6-3 물리량 요소</w:t>
            </w:r>
          </w:p>
        </w:tc>
        <w:tc>
          <w:tcPr>
            <w:tcW w:type="dxa" w:w="320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온도·길이·중량·각도 등 물리량 요소에 단위 필드가 없다(예: 6.3-46 HR_RHNGF_HSN_TMP=Numeric, 6.1-2 BIN_CPCT=Numeric, 6.1-8 RCLM_ANGDE=Numeric). A.5.1이 '데이터 타입만 적용'한다 하여 단위·유효범위가 구조화되지 않고 단위는 산문에만 산발 등장한다.</w:t>
            </w:r>
          </w:p>
        </w:tc>
        <w:tc>
          <w:tcPr>
            <w:tcW w:type="dxa" w:w="2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물리량 요소에 단위 필드를 신설하고 UCUM/QUDT 등 표준 단위로 명시한다. 유효범위·소수자릿수도 도메인에 결합한다.</w:t>
            </w:r>
          </w:p>
        </w:tc>
        <w:tc>
          <w:tcPr>
            <w:tcW w:type="dxa" w:w="860"/>
            <w:shd w:fill="FCE5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중간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3</w:t>
            </w:r>
          </w:p>
        </w:tc>
        <w:tc>
          <w:tcPr>
            <w:tcW w:type="dxa" w:w="1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절 2 인용 표준 / 서문 3절 / 부록 Ⅰ-4 (용어 3.1·3.7·3.9·3.19·3.23·3.43·3.39·3.41·3.42)</w:t>
            </w:r>
          </w:p>
        </w:tc>
        <w:tc>
          <w:tcPr>
            <w:tcW w:type="dxa" w:w="320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절 2 '인용 표준'과 서문 3절이 모두 '해당 사항 없음'이나, 용어 정의가 외부 표준을 규범적으로 준용한다(3.1·3.7·3.9·3.19 'KSD0041을 따른다', 3.23 KSD0048, 3.43 'ISO/IEC 11179-1:2015를 따른다', 3.39 TTAK.KO-10.1405-Part1, 3.41·3.42 TTAK.KO-10.0122/R1). 규범적 의존을 참고문헌(Ⅰ-4)에만 두었다.</w:t>
            </w:r>
          </w:p>
        </w:tc>
        <w:tc>
          <w:tcPr>
            <w:tcW w:type="dxa" w:w="2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해당 외부 표준(KSD0041·KSD0048·ISO/IEC 11179-1:2015·TTAK.KO-10.1405-Part1·TTAK.KO-10.0122/R1)을 절 2 인용표준으로 재분류해 규범 의존을 명시한다.</w:t>
            </w:r>
          </w:p>
        </w:tc>
        <w:tc>
          <w:tcPr>
            <w:tcW w:type="dxa" w:w="860"/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높음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4</w:t>
            </w:r>
          </w:p>
        </w:tc>
        <w:tc>
          <w:tcPr>
            <w:tcW w:type="dxa" w:w="1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본문 표 6-1~6-3 Code 유형 요소 / 부속서 A.5.12 표 A.5-11 · 표 A.5-1</w:t>
            </w:r>
          </w:p>
        </w:tc>
        <w:tc>
          <w:tcPr>
            <w:tcW w:type="dxa" w:w="320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본문은 여러 요소를 Code 유형으로 부여하나(예: 6.1-7 광종코드 ORETP_CD=Code), 코드 도메인 지침 A.5.12와 표 A.5-1은 '코드값은 각 기업마다 달리 정의하므로 본 표준에서 정하지 않는다'고 하여 유효값(enum)이 부재하다. 코드형 요소가 값집합 없이 선언된다.</w:t>
            </w:r>
          </w:p>
        </w:tc>
        <w:tc>
          <w:tcPr>
            <w:tcW w:type="dxa" w:w="2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공유 대상 코드 요소에 대해 표준 코드 유효값 집합(enum)을 정의하거나 외부 코드 표준을 인용 결합해 코드 의미의 상호운용을 보장한다.</w:t>
            </w:r>
          </w:p>
        </w:tc>
        <w:tc>
          <w:tcPr>
            <w:tcW w:type="dxa" w:w="860"/>
            <w:shd w:fill="FCE5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중간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5</w:t>
            </w:r>
          </w:p>
        </w:tc>
        <w:tc>
          <w:tcPr>
            <w:tcW w:type="dxa" w:w="1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용어 3.23 연신율 / 3.32 주편 / 본문 표 데이터 유형 표기</w:t>
            </w:r>
          </w:p>
        </w:tc>
        <w:tc>
          <w:tcPr>
            <w:tcW w:type="dxa" w:w="320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3.23 연신율 본문은 '정의는 KSD0041…을 따른다'고 적었으나 [출처]는 KSD0048로 불일치한다. 3.32 주편 정의는 '불룸'으로 적어 표준 용어 3.7 '블룸(Bloom)'과 표기가 다르고, 데이터형식에 Datetime/datetime 대소문자 혼재가 있다.</w:t>
            </w:r>
          </w:p>
        </w:tc>
        <w:tc>
          <w:tcPr>
            <w:tcW w:type="dxa" w:w="2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3.23의 본문-출처를 일치시키고, '블룸' 등 표준 용어 표기를 통일하며, 데이터형식 표기를 단일 표기로 정정한다.</w:t>
            </w:r>
          </w:p>
        </w:tc>
        <w:tc>
          <w:tcPr>
            <w:tcW w:type="dxa" w:w="86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낮음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6</w:t>
            </w:r>
          </w:p>
        </w:tc>
        <w:tc>
          <w:tcPr>
            <w:tcW w:type="dxa" w:w="1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부속서 A.5.1 · 표 A.6-2 / 본문 표 6-1~6-3</w:t>
            </w:r>
          </w:p>
        </w:tc>
        <w:tc>
          <w:tcPr>
            <w:tcW w:type="dxa" w:w="320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타입 집합 선언(A.5.1·표 A.6-2: 4종)과 본문 사용(7종)이 충돌하고, A.5.1은 표준도메인이 '최대 길이·소수점·유효 범위·유효 목록을 정의'한다고 한 뒤 곧바로 '본 표준에서는 데이터 타입만 적용한다'고 하여 도메인 정의 범위가 자기모순적이다.</w:t>
            </w:r>
          </w:p>
        </w:tc>
        <w:tc>
          <w:tcPr>
            <w:tcW w:type="dxa" w:w="2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규범(부속서 A)과 적용(본문 표)의 경계를 정리한다. 도메인이 실제 정의하는 속성(타입만 vs 길이·범위 포함)을 일관되게 기술하고 본문 표와 일치시킨다.</w:t>
            </w:r>
          </w:p>
        </w:tc>
        <w:tc>
          <w:tcPr>
            <w:tcW w:type="dxa" w:w="860"/>
            <w:shd w:fill="FCE5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중간</w:t>
            </w:r>
          </w:p>
        </w:tc>
      </w:tr>
    </w:tbl>
    <w:p>
      <w:pPr>
        <w:pStyle w:val="Heading2"/>
      </w:pPr>
      <w:r>
        <w:t xml:space="preserve">2.1 데이터 타입 정의·일관성 결함 (심각도 높음)</w:t>
      </w:r>
    </w:p>
    <w:p>
      <w:pPr>
        <w:spacing w:after="140" w:line="300"/>
      </w:pPr>
      <w:r>
        <w:t xml:space="preserve">A.5.1은 '본 표준에서는 데이터 타입(string, numeric, datetime, boolean)만 적용한다'고 명시하고 &lt;표 A.6-2&gt; '데이터형식'도 동일 4종으로 한정한다. 그러나 본문 &lt;표 6-1&gt;~&lt;표 6-3&gt;의 '데이터 유형' 열은 선언되지 않은 Code(34건)·Date(9건)·Time(34건)을 사용한다(예: 6.1-7 광종코드 ORETP_CD=Code, 6.3-48 소재장입일시=Datetime이면서 별도 Date/Time도 등장). 선언 집합과 사용 집합이 모순되어 타입 정의가 사실과 다르며, 데이터형식 표기('Datetime' 76건 vs 'datetime' 2건)도 대소문자 혼재가 있다. 이는 데이터 타입 정의 오류이자 내부 일관성 결함으로, 교환 시 수신측 파싱 규칙을 불확정하게 만든다.</w:t>
      </w:r>
    </w:p>
    <w:p>
      <w:pPr>
        <w:pStyle w:val="Heading2"/>
      </w:pPr>
      <w:r>
        <w:t xml:space="preserve">2.2 단위 표기 모호성 (심각도 중간)</w:t>
      </w:r>
    </w:p>
    <w:p>
      <w:pPr>
        <w:spacing w:after="140" w:line="300"/>
      </w:pPr>
      <w:r>
        <w:t xml:space="preserve">온도·길이·중량·각도·면적 등 물리량 요소가 다수임에도 단위를 담는 구조화된 필드가 없다(예: 6.3-46 열연가열로가열대온도 HR_RHNGF_HSN_TMP=Numeric, 6.1-2 BIN용량 BIN_CPCT=Numeric, 6.1-8 리클레이머부앙각 RCLM_ANGDE=Numeric). A.5.1이 '데이터 타입만 적용'한다고 하여 단위·유효범위·소수자릿수를 의도적으로 배제했고, mm·ton·℃ 등 단위는 일부 정의 산문(예: 325 STS코일실적평균두께의 '25mm지점', '1m 단위 구간')에만 비정형으로 나타난다. 기업간 공유 표준에서 단위 미명세는 동일 Numeric 값의 해석 불일치를 유발한다.</w:t>
      </w:r>
    </w:p>
    <w:p>
      <w:pPr>
        <w:pStyle w:val="Heading2"/>
      </w:pPr>
      <w:r>
        <w:t xml:space="preserve">2.3 인용/준용표준 분류 오류 (심각도 높음)</w:t>
      </w:r>
    </w:p>
    <w:p>
      <w:pPr>
        <w:spacing w:after="140" w:line="300"/>
      </w:pPr>
      <w:r>
        <w:t xml:space="preserve">절 2 '인용 표준'과 서문 3절 '인용 표준과의 비교'는 모두 '해당 사항 없음'이다. 그러나 용어 정의 다수가 외부 표준을 규범적으로 준용한다: 3.1 강편·3.7 블룸·3.9 빌렛·3.19 슬래브는 '정의는 KSD0041을 따른다', 3.23 연신율은 KSD0048, 3.43 데이터표준화는 'ISO/IEC 11179-1:2015를 따른다', 3.39는 TTAK.KO-10.1405-Part1, 3.41·3.42는 TTAK.KO-10.0122/R1을 출처로 명시한다. 이는 외부 표준의 정의를 채택하는 규범적 의존이므로 인용표준으로 분류해야 하나 참고문헌(부록 Ⅰ-4)에만 두어 분류 오류에 해당한다.</w:t>
      </w:r>
    </w:p>
    <w:p>
      <w:pPr>
        <w:pStyle w:val="Heading2"/>
      </w:pPr>
      <w:r>
        <w:t xml:space="preserve">2.4 코드/enum 유효값 미정의 (심각도 중간)</w:t>
      </w:r>
    </w:p>
    <w:p>
      <w:pPr>
        <w:spacing w:after="140" w:line="300"/>
      </w:pPr>
      <w:r>
        <w:t xml:space="preserve">본문은 여러 요소의 데이터 유형을 Code로 부여한다(예: 6.1-7 광종코드 ORETP_CD=Code). 그러나 &lt;표 A.5-1&gt; 코드 분류와 A.5.12 &lt;표 A.5-11&gt;은 '코드 값은 각 기업마다 달리 정의하여 사용하므로 코드값은 본 표준에서 정하지 않는다'고 규정한다. 결과적으로 코드형 요소가 유효값 집합(enum) 없이 선언되어, '기업간 데이터 공유'라는 표준 목적과 달리 코드 의미의 상호운용이 보장되지 않는다.</w:t>
      </w:r>
    </w:p>
    <w:p>
      <w:pPr>
        <w:pStyle w:val="Heading2"/>
      </w:pPr>
      <w:r>
        <w:t xml:space="preserve">2.5 오타·표기 불일치 (심각도 낮음)</w:t>
      </w:r>
    </w:p>
    <w:p>
      <w:pPr>
        <w:spacing w:after="140" w:line="300"/>
      </w:pPr>
      <w:r>
        <w:t xml:space="preserve">3.23 연신율은 본문이 '정의는 KSD0041 철강 용어(제품 및 품질)을 따른다'고 적었으나 [출처]는 KSD0048(철강 용어(시험))로 본문-출처가 불일치한다. 3.32 주편 정의는 '불룸'으로 표기해 표준 용어 3.7 '블룸(Bloom)'과 다르고, 데이터형식 표기에 'Datetime'/'datetime' 대소문자 혼재가 있다. 의미를 훼손하지는 않으나 사전형 표준의 표기 일관성을 떨어뜨린다.</w:t>
      </w:r>
    </w:p>
    <w:p>
      <w:pPr>
        <w:pStyle w:val="Heading2"/>
      </w:pPr>
      <w:r>
        <w:t xml:space="preserve">2.6 내부 일관성 결함 (심각도 중간)</w:t>
      </w:r>
    </w:p>
    <w:p>
      <w:pPr>
        <w:spacing w:after="140" w:line="300"/>
      </w:pPr>
      <w:r>
        <w:t xml:space="preserve">타입 집합 선언(A.5.1·&lt;표 A.6-2&gt;: 4종)과 본문 실제 사용(7종)이 충돌하며(2.1과 연동), A.5.1은 한 문장에서 표준도메인이 '최대 길이·소수점 이하 자릿수·유효 범위·유효 형식·유효 목록을 정의한다'고 한 뒤 곧바로 '본 표준에서는 데이터 타입만 적용한다'고 하여 도메인 정의 범위 자체가 자기모순적이다. 규범(부속서 A)과 적용(본문 표) 사이의 경계가 명확히 정리되지 않았다.</w:t>
      </w:r>
    </w:p>
    <w:p>
      <w:pPr>
        <w:pStyle w:val="Heading1"/>
      </w:pPr>
      <w:r>
        <w:t xml:space="preserve">3. 점검 통과(N) · 비해당(N/A) 항목</w:t>
      </w:r>
    </w:p>
    <w:p>
      <w:pPr>
        <w:spacing w:after="140" w:line="300"/>
      </w:pPr>
      <w:r>
        <w:t xml:space="preserve">아래 항목은 검사 대상이 있었으나 결함이 발견되지 않았거나(N), 이 표준의 성격상 적용 대상이 아닌(N/A) 항목이다.</w:t>
      </w:r>
    </w:p>
    <w:p>
      <w:pPr>
        <w:pStyle w:val="ListParagraph"/>
        <w:numPr>
          <w:ilvl w:val="0"/>
          <w:numId w:val="0"/>
        </w:numPr>
        <w:spacing w:after="80" w:line="290"/>
        <w:ind w:left="360" w:hanging="220"/>
      </w:pPr>
      <w:r>
        <w:t xml:space="preserve">• </w:t>
      </w:r>
      <w:r>
        <w:rPr>
          <w:b/>
          <w:bCs/>
        </w:rPr>
        <w:t xml:space="preserve">기타</w:t>
      </w:r>
      <w:r>
        <w:t xml:space="preserve"> — (N · 통과) 분류체계 &lt;표 5-1&gt;(레벨1~3)과 요소 수 진술(제선 110개·압연 328개)이 본문 표와 일치하고, 7유형 외 추가 결함은 확인되지 않았다.</w:t>
      </w:r>
    </w:p>
    <w:p>
      <w:pPr>
        <w:pStyle w:val="Heading1"/>
      </w:pPr>
      <w:r>
        <w:t xml:space="preserve">4. 조치 우선순위</w:t>
      </w:r>
    </w:p>
    <w:p>
      <w:pPr>
        <w:spacing w:after="140" w:line="300"/>
      </w:pPr>
      <w:r>
        <w:t xml:space="preserve">조치 우선순위는 (1) 데이터 타입 집합의 선언-사용 정합화 및 Code/Date/Time의 4종 체계 재매핑(2.1·2.6, 심각도 높음), (2) 절 2 인용표준 재분류로 KSD0041·KSD0048·ISO/IEC 11179-1·TTAK.KO-10.0122/R1·1405-Part1을 규범 인용으로 명시(2.3, 높음), (3) 물리량 요소 단위 필드 도입과 코드 유효값 정의(2.2·2.4, 중간), (4) 본문-출처 불일치 등 표기 정정(2.5, 낮음) 순으로 둔다. (1)·(3)은 규칙 정의 시 부분 자동검사가 가능하다.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2026-06-22T06:18:39.213Z</dcterms:created>
  <dcterms:modified xsi:type="dcterms:W3CDTF">2026-06-22T06:18:39.213Z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