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60"/>
        <w:jc w:val="center"/>
      </w:pPr>
      <w:r>
        <w:rPr>
          <w:color w:val="555555"/>
          <w:sz w:val="25"/>
          <w:szCs w:val="25"/>
        </w:rPr>
        <w:t xml:space="preserve">AI-Ready 메타데이터 관점에서 본</w:t>
      </w:r>
    </w:p>
    <w:p>
      <w:pPr>
        <w:spacing w:after="80"/>
        <w:jc w:val="center"/>
      </w:pPr>
      <w:r>
        <w:rPr>
          <w:b/>
          <w:bCs/>
          <w:color w:val="1F3864"/>
          <w:sz w:val="40"/>
          <w:szCs w:val="40"/>
        </w:rPr>
        <w:t xml:space="preserve">AI 모델 메타데이터 표준 분석 보고서</w:t>
      </w:r>
    </w:p>
    <w:p>
      <w:pPr>
        <w:spacing w:after="40"/>
        <w:jc w:val="center"/>
      </w:pPr>
      <w:r>
        <w:rPr>
          <w:b/>
          <w:bCs/>
          <w:sz w:val="21"/>
          <w:szCs w:val="21"/>
        </w:rPr>
        <w:t xml:space="preserve">AI 모델의 학습 데이터세트 관리와 상호운용성 지원을 위한 메타데이터</w:t>
      </w:r>
    </w:p>
    <w:p>
      <w:pPr>
        <w:spacing w:after="60"/>
        <w:jc w:val="center"/>
      </w:pPr>
      <w:r>
        <w:rPr>
          <w:color w:val="666666"/>
          <w:sz w:val="20"/>
          <w:szCs w:val="20"/>
        </w:rPr>
        <w:t xml:space="preserve">TTAK.KO-10.1594 (제정 2025.12.05.) · PG606</w:t>
      </w:r>
    </w:p>
    <w:p>
      <w:pPr>
        <w:spacing w:after="260"/>
        <w:jc w:val="center"/>
      </w:pPr>
      <w:r>
        <w:t>7개 구성요소 프레임워크 기반 상세 분석 · 성숙도 11/14 ≈ 79%</w:t>
      </w:r>
    </w:p>
    <w:p>
      <w:pPr>
        <w:pStyle w:val="Heading1"/>
      </w:pPr>
      <w:r>
        <w:t xml:space="preserve">들어가며</w:t>
      </w:r>
    </w:p>
    <w:p>
      <w:pPr>
        <w:spacing w:after="140" w:line="300"/>
      </w:pPr>
      <w:r>
        <w:t xml:space="preserve">이 문서는 표준 </w:t>
      </w:r>
      <w:r>
        <w:rPr>
          <w:b/>
          <w:bCs/>
        </w:rPr>
        <w:t xml:space="preserve">TTAK.KO-10.1594</w:t>
      </w:r>
      <w:r>
        <w:t xml:space="preserve">(AI 모델 학습 데이터세트 메타데이터)를 ‘AI-Ready 메타데이터’ 관점에서 분석한 보고서다. ‘AI-Ready’란 사람이 문서를 읽어야 뜻이 통하는 데이터가 아니라, 기계(AI·데이터 파이프라인)가 데이터의 의미·관계·출처·품질·이용 조건을 스스로 읽어 활용할 수 있는 상태를 말한다.</w:t>
      </w:r>
    </w:p>
    <w:p>
      <w:pPr>
        <w:spacing w:after="140" w:line="300"/>
      </w:pPr>
      <w:r>
        <w:t xml:space="preserve">이 표준은 출발점이 특별하다. 대부분의 TTA 데이터 표준이 표·산문 중심인 데 비해, 이 표준은 처음부터 </w:t>
      </w:r>
      <w:r>
        <w:rPr>
          <w:rFonts w:ascii="Consolas" w:cs="Consolas" w:eastAsia="Consolas" w:hAnsi="Consolas"/>
          <w:sz w:val="18"/>
          <w:szCs w:val="18"/>
        </w:rPr>
        <w:t xml:space="preserve">koai:AIModel·koai:Dataset·koai:ModelDerivation</w:t>
      </w:r>
      <w:r>
        <w:t xml:space="preserve"> 등 19개 클래스를 RDF 온톨로지로 정의했다. 따라서 이 분석의 결론은 ‘전환’이 아니라 ‘보강’이다 — 7개 구성요소 중 셋이 이미 충족(2)이며, 단위·품질 두 곳을 채우면 완성에 가깝다. 성숙도는 11/14(약 79%)로, 본 과제에서 분석한 표준 중 가장 높다.</w:t>
      </w:r>
    </w:p>
    <w:p>
      <w:pPr>
        <w:pStyle w:val="Heading1"/>
      </w:pPr>
      <w:r>
        <w:t xml:space="preserve">1. 7개 구성요소 프레임워크</w:t>
      </w:r>
    </w:p>
    <w:p>
      <w:pPr>
        <w:spacing w:after="140" w:line="300"/>
      </w:pPr>
      <w:r>
        <w:t xml:space="preserve">AI-Ready 전환은 기존 메타데이터의 세 측면을 ‘다시 표현’하고(전환 3종), 대체로 빠져 있던 네 측면을 ‘새로 추가’하는(신규 4종) 작업이다. 괄호 안 숫자는 0(미충족)·1(부분)·2(충족) 등급이며, 7개 합계를 14로 나눈 값이 성숙도다.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100"/>
        <w:gridCol w:w="6026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구성요소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구분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한 줄 의미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시맨틱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 xml:space="preserve">전환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>각 항목의 의미와 항목 간 상하·포함 관계를 전역 어휘 IRI로 고정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데이터 모델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 xml:space="preserve">전환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>각 항목 값의 유형·제약·반복을 기계검증 스키마(XSD·SHACL)로 정의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신태틱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5496"/>
                <w:sz w:val="15"/>
                <w:szCs w:val="15"/>
              </w:rPr>
              <w:t xml:space="preserve">전환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9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의미·구조를 적는 표준 직렬화 형식(JSON-LD·RDF 등)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운영 시맨틱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t>AI/ML이 데이터를 어떻게 쓰는지(train/val/test split·feature/label 역할)를 정의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출처/계보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누가·언제·어떤 과정으로 생성·가공됐는지 이력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품질 프로파일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F0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정확도·결측·이상치 등 품질을 형식 어휘로 기술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접근/사용 제약</w:t>
            </w:r>
          </w:p>
        </w:tc>
        <w:tc>
          <w:tcPr>
            <w:tcW w:type="dxa" w:w="1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FB5A0"/>
                <w:sz w:val="15"/>
                <w:szCs w:val="15"/>
              </w:rPr>
              <w:t xml:space="preserve">신규</w:t>
            </w:r>
          </w:p>
        </w:tc>
        <w:tc>
          <w:tcPr>
            <w:tcW w:type="dxa" w:w="6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5"/>
                <w:szCs w:val="15"/>
              </w:rPr>
              <w:t xml:space="preserve">라이선스·접근 권한·이용 조건을 데이터에 결합</w:t>
            </w:r>
          </w:p>
        </w:tc>
      </w:tr>
    </w:tbl>
    <w:p>
      <w:pPr>
        <w:spacing w:after="80" w:line="300"/>
      </w:pPr>
    </w:p>
    <w:p>
      <w:pPr>
        <w:pStyle w:val="Heading1"/>
      </w:pPr>
      <w:r>
        <w:t xml:space="preserve">2. 먼저 알아두면 좋은 표준과 어휘</w:t>
      </w:r>
    </w:p>
    <w:p>
      <w:pPr>
        <w:pStyle w:val="Heading2"/>
      </w:pPr>
      <w:r>
        <w:t xml:space="preserve">2.1 의미 표현의 기초 — RDF · IRI · JSON-LD</w:t>
      </w:r>
    </w:p>
    <w:p>
      <w:pPr>
        <w:spacing w:after="140" w:line="300"/>
      </w:pPr>
      <w:r>
        <w:t xml:space="preserve">AI-Ready 표현의 바탕에는 W3C의 </w:t>
      </w:r>
      <w:r>
        <w:rPr>
          <w:b/>
          <w:bCs/>
        </w:rPr>
        <w:t xml:space="preserve">RDF</w:t>
      </w:r>
      <w:r>
        <w:t xml:space="preserve"> 데이터 모델이 있다. RDF는 모든 사실을 ‘주어–서술어–목적어’ 트리플로 적고, 각 개념을 </w:t>
      </w:r>
      <w:r>
        <w:rPr>
          <w:b/>
          <w:bCs/>
        </w:rPr>
        <w:t xml:space="preserve">IRI</w:t>
      </w:r>
      <w:r>
        <w:t xml:space="preserve">(웹 주소 형태의 고유 이름)로 가리켜 누구나 같은 개념을 같은 주소로 참조하게 한다. 이를 파일로 적는 형식이 직렬화인데, 기존 JSON에 의미를 더하는 </w:t>
      </w:r>
      <w:r>
        <w:rPr>
          <w:b/>
          <w:bCs/>
        </w:rPr>
        <w:t xml:space="preserve">JSON-LD</w:t>
      </w:r>
      <w: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@context</w:t>
      </w:r>
      <w:r>
        <w:t xml:space="preserve">는 ‘이 JSON 키들이 어떤 IRI를 가리키는지’를 알려주어, 기존 데이터를 거의 그대로 둔 채 의미만 입히는 최소 전환 장치다.</w:t>
      </w:r>
    </w:p>
    <w:p>
      <w:pPr>
        <w:pStyle w:val="Heading2"/>
      </w:pPr>
      <w:r>
        <w:t xml:space="preserve">2.2 핵심 어휘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DCAT v3 · Schema.org · SKOS</w:t>
      </w:r>
      <w:r>
        <w:rPr>
          <w:color w:val="777777"/>
          <w:sz w:val="16"/>
          <w:szCs w:val="16"/>
        </w:rPr>
        <w:t xml:space="preserve">  (W3C · community)</w:t>
      </w:r>
    </w:p>
    <w:p>
      <w:pPr>
        <w:spacing w:after="50" w:line="300"/>
      </w:pPr>
      <w:r>
        <w:t xml:space="preserve">DCAT는 데이터셋·배포본을 기술하는 카탈로그 어휘(dct:license·dcat:distribution·dcat:accessService 등), Schema.org는 범용 의미 어휘, SKOS는 통제어·분류체계를 표현하는 어휘다.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PROV-O</w:t>
      </w:r>
      <w:r>
        <w:rPr>
          <w:color w:val="777777"/>
          <w:sz w:val="16"/>
          <w:szCs w:val="16"/>
        </w:rPr>
        <w:t xml:space="preserve">  (W3C)</w:t>
      </w:r>
    </w:p>
    <w:p>
      <w:pPr>
        <w:spacing w:after="50" w:line="300"/>
      </w:pPr>
      <w:r>
        <w:t xml:space="preserve">데이터의 출처·생성 이력(계보)을 표현하는 표준. prov:wasGeneratedBy·wasAttributedTo·wasDerivedFrom 등으로 ‘무엇이 어떤 활동으로 누구에 의해 생성·파생됐는가’를 그래프로 남긴다.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DQV</w:t>
      </w:r>
      <w:r>
        <w:rPr>
          <w:color w:val="777777"/>
          <w:sz w:val="16"/>
          <w:szCs w:val="16"/>
        </w:rPr>
        <w:t xml:space="preserve">  (W3C)</w:t>
      </w:r>
    </w:p>
    <w:p>
      <w:pPr>
        <w:spacing w:after="50" w:line="300"/>
      </w:pPr>
      <w:r>
        <w:t xml:space="preserve">데이터 품질을 형식적으로 기술하는 어휘. dqv:Dimension(품질 차원)·dqv:QualityMeasurement(측정값)으로 정확도·완전성·대표성을 데이터에 붙여, 파이프라인이 이상 데이터를 자동으로 거르게 한다.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QUDT / UCUM</w:t>
      </w:r>
      <w:r>
        <w:rPr>
          <w:color w:val="777777"/>
          <w:sz w:val="16"/>
          <w:szCs w:val="16"/>
        </w:rPr>
        <w:t xml:space="preserve">  (QUDT.org · Regenstrief)</w:t>
      </w:r>
    </w:p>
    <w:p>
      <w:pPr>
        <w:spacing w:after="50" w:line="300"/>
      </w:pPr>
      <w:r>
        <w:t xml:space="preserve">단위·물리량을 IRI(QUDT) 또는 파싱 가능한 표준 코드(UCUM)로 표현해, 혼재된 단위를 기계가 환산·정규화하게 한다.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SHACL</w:t>
      </w:r>
      <w:r>
        <w:rPr>
          <w:color w:val="777777"/>
          <w:sz w:val="16"/>
          <w:szCs w:val="16"/>
        </w:rPr>
        <w:t xml:space="preserve">  (W3C)</w:t>
      </w:r>
    </w:p>
    <w:p>
      <w:pPr>
        <w:spacing w:after="50" w:line="300"/>
      </w:pPr>
      <w:r>
        <w:t xml:space="preserve">RDF 데이터가 규칙(필수 항목·값 범위·형식·열거값)을 지키는지 자동 검증하는 표준. 측정 범위·M/O 표기·코드 목록이 sh:minInclusive·sh:minCount·sh:in 등으로 그대로 옮겨진다.</w:t>
      </w:r>
    </w:p>
    <w:p>
      <w:pPr>
        <w:spacing w:after="30" w:before="90"/>
      </w:pPr>
      <w:r>
        <w:rPr>
          <w:b/>
          <w:bCs/>
          <w:color w:val="1F3864"/>
          <w:sz w:val="20"/>
          <w:szCs w:val="20"/>
        </w:rPr>
        <w:t xml:space="preserve">Croissant · DataCite(DOI) · re3data</w:t>
      </w:r>
      <w:r>
        <w:rPr>
          <w:color w:val="777777"/>
          <w:sz w:val="16"/>
          <w:szCs w:val="16"/>
        </w:rPr>
        <w:t xml:space="preserve">  (MLCommons · DataCite)</w:t>
      </w:r>
    </w:p>
    <w:p>
      <w:pPr>
        <w:spacing w:after="50" w:line="300"/>
      </w:pPr>
      <w:r>
        <w:t xml:space="preserve">Croissant는 여러 파일을 ‘하나의 ML 데이터셋’으로 묶는 JSON-LD 포장 형식, DataCite(DOI)는 영속 식별자 부여 체계, re3data는 데이터 저장소 레지스트리다.</w:t>
      </w:r>
    </w:p>
    <w:p>
      <w:pPr>
        <w:pStyle w:val="Heading1"/>
      </w:pPr>
      <w:r>
        <w:t xml:space="preserve">3. 7개 구성요소별 상세 분석</w:t>
      </w:r>
    </w:p>
    <w:p>
      <w:pPr>
        <w:spacing w:after="140" w:line="300"/>
      </w:pPr>
      <w:r>
        <w:t xml:space="preserve">각 구성요소마다 ‘현재 상태(이 표준의 실제 요소를 들어) → 무엇이 부족한가 → 어떻게 바꾸나’ 순서로 분석한다. 필요한 곳에는 전환 예시(JSON-LD·SHACL 등)를 덧붙인다.</w:t>
      </w:r>
    </w:p>
    <w:p>
      <w:pPr>
        <w:pStyle w:val="Heading2"/>
      </w:pPr>
      <w:r>
        <w:t xml:space="preserve">3.1 시맨틱 (2 · 충족)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클래스와 속성이 전역 어휘 IRI에 결합돼 있다. 핵심 클래스는 </w:t>
      </w:r>
      <w:r>
        <w:rPr>
          <w:rFonts w:ascii="Consolas" w:cs="Consolas" w:eastAsia="Consolas" w:hAnsi="Consolas"/>
          <w:sz w:val="18"/>
          <w:szCs w:val="18"/>
        </w:rPr>
        <w:t xml:space="preserve">koai:AIModel·koai:Dataset·koai:Task·koai:Metric</w:t>
      </w:r>
      <w:r>
        <w:t xml:space="preserve">이고, 속성은 </w:t>
      </w:r>
      <w:r>
        <w:rPr>
          <w:rFonts w:ascii="Consolas" w:cs="Consolas" w:eastAsia="Consolas" w:hAnsi="Consolas"/>
          <w:sz w:val="18"/>
          <w:szCs w:val="18"/>
        </w:rPr>
        <w:t xml:space="preserve">dct(식별·라이선스)·dcat(배포·주제)·skos(분류)·schema(버전)</w:t>
      </w:r>
      <w:r>
        <w:t xml:space="preserve"> 접두어로 표기된다. 예컨대 Dataset 클래스는 </w:t>
      </w:r>
      <w:r>
        <w:rPr>
          <w:rFonts w:ascii="Consolas" w:cs="Consolas" w:eastAsia="Consolas" w:hAnsi="Consolas"/>
          <w:sz w:val="18"/>
          <w:szCs w:val="18"/>
        </w:rPr>
        <w:t xml:space="preserve">dcat:distribution·dcat:keyword·dcat:theme</w:t>
      </w:r>
      <w:r>
        <w:t xml:space="preserve">와 </w:t>
      </w:r>
      <w:r>
        <w:rPr>
          <w:rFonts w:ascii="Consolas" w:cs="Consolas" w:eastAsia="Consolas" w:hAnsi="Consolas"/>
          <w:sz w:val="18"/>
          <w:szCs w:val="18"/>
        </w:rPr>
        <w:t xml:space="preserve">skos:Concept·skos:broader/narrower</w:t>
      </w:r>
      <w:r>
        <w:t xml:space="preserve">로 주제 체계와 의미 기반으로 연결된다.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이미 충족 상태다. 남은 일은 두 가지다. 첫째, </w:t>
      </w:r>
      <w:r>
        <w:rPr>
          <w:rFonts w:ascii="Consolas" w:cs="Consolas" w:eastAsia="Consolas" w:hAnsi="Consolas"/>
          <w:sz w:val="18"/>
          <w:szCs w:val="18"/>
        </w:rPr>
        <w:t xml:space="preserve">koai</w:t>
      </w:r>
      <w:r>
        <w:t xml:space="preserve"> 네임스페이스 IRI를 실제로 공개·해소(resolvable)되게 하여 외부 시스템이 정의를 조회할 수 있게 한다. 둘째, Schema.org·MLCommons Croissant의 동등 용어와 매핑(예: </w:t>
      </w:r>
      <w:r>
        <w:rPr>
          <w:rFonts w:ascii="Consolas" w:cs="Consolas" w:eastAsia="Consolas" w:hAnsi="Consolas"/>
          <w:sz w:val="18"/>
          <w:szCs w:val="18"/>
        </w:rPr>
        <w:t xml:space="preserve">koai:Dataset ≡ schema:Dataset</w:t>
      </w:r>
      <w:r>
        <w:t xml:space="preserve">)을 부속서에 명시해 허브 간 상호운용을 보장한다.</w:t>
      </w:r>
    </w:p>
    <w:p>
      <w:pPr>
        <w:pStyle w:val="Heading2"/>
      </w:pPr>
      <w:r>
        <w:t>3.2 데이터 모델 (2 · 충족)</w:t>
      </w:r>
    </w:p>
    <w:p>
      <w:pPr>
        <w:spacing w:after="140" w:line="300"/>
      </w:pPr>
      <w:r>
        <w:t>속성 레인지를 xsd:anyURI·dateTime·integer·boolean으로, 필수여부(M/O/R)를 RDF로 형식 정의해 값 제약이 기계 판독 가능하다.</w:t>
      </w:r>
    </w:p>
    <w:p>
      <w:pPr>
        <w:spacing w:after="140" w:line="300"/>
      </w:pPr>
      <w:r>
        <w:t>SHACL Shape로 카디널리티·값범위를 강제하면 데이터가 모델을 따르는지 자동 검증된다. (요소 간 상속·구성 관계는 시맨틱에서 다룬다.)</w:t>
      </w:r>
    </w:p>
    <w:p>
      <w:pPr>
        <w:pStyle w:val="Heading2"/>
      </w:pPr>
      <w:r>
        <w:t xml:space="preserve">3.3 신태틱 (1 · 부분)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부록 Ⅰ에 ‘메타데이터 어휘에 대한 RDF 표현’이 제공되어 RDF 직렬화의 토대는 있다. 다만 본문이 데이터 인스턴스를 적는 규범 형식(JSON-LD </w:t>
      </w:r>
      <w:r>
        <w:rPr>
          <w:rFonts w:ascii="Consolas" w:cs="Consolas" w:eastAsia="Consolas" w:hAnsi="Consolas"/>
          <w:sz w:val="18"/>
          <w:szCs w:val="18"/>
        </w:rPr>
        <w:t xml:space="preserve">@context</w:t>
      </w:r>
      <w:r>
        <w:t xml:space="preserve">)을 명시하지 않아, 구현자가 동일한 JSON을 서로 다르게 적을 여지가 있다.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JSON-LD </w:t>
      </w:r>
      <w:r>
        <w:rPr>
          <w:rFonts w:ascii="Consolas" w:cs="Consolas" w:eastAsia="Consolas" w:hAnsi="Consolas"/>
          <w:sz w:val="18"/>
          <w:szCs w:val="18"/>
        </w:rPr>
        <w:t xml:space="preserve">@context</w:t>
      </w:r>
      <w:r>
        <w:t xml:space="preserve">를 규범으로 제공하면, 기존 모델 허브의 JSON을 거의 그대로 둔 채 의미만 입힐 수 있다. ML 학습 데이터세트는 </w:t>
      </w:r>
      <w:r>
        <w:rPr>
          <w:b/>
          <w:bCs/>
        </w:rPr>
        <w:t xml:space="preserve">Croissant</w:t>
      </w:r>
      <w:r>
        <w:t xml:space="preserve">로 패키징해 학습 파이프라인이 바로 적재하게 한다.</w:t>
      </w:r>
    </w:p>
    <w:p>
      <w:pPr>
        <w:pBdr>
          <w:top w:val="single" w:color="D9DEE6" w:sz="4" w:space="5"/>
          <w:left w:val="single" w:color="9DB2C8" w:sz="12" w:space="8"/>
          <w:bottom w:val="single" w:color="D9DEE6" w:sz="4" w:space="5"/>
          <w:right w:val="single" w:color="D9DEE6" w:sz="4" w:space="5"/>
        </w:pBdr>
        <w:shd w:fill="F4F6F9" w:val="clear"/>
        <w:spacing w:after="140" w:before="80" w:line="248"/>
      </w:pPr>
      <w:r>
        <w:rPr>
          <w:rFonts w:ascii="Consolas" w:cs="Consolas" w:eastAsia="Consolas" w:hAnsi="Consolas"/>
          <w:color w:val="1A2433"/>
          <w:sz w:val="16"/>
          <w:szCs w:val="16"/>
        </w:rPr>
        <w:t xml:space="preserve">{ "@context": {</w:t>
        <w:br/>
        <w:t xml:space="preserve">    "koai": "https://standard.tta.or.kr/koai#",</w:t>
        <w:br/>
        <w:t xml:space="preserve">    "dct":  "http://purl.org/dc/terms/",</w:t>
        <w:br/>
        <w:t xml:space="preserve">    "dcat": "http://www.w3.org/ns/dcat#" },</w:t>
        <w:br/>
        <w:t xml:space="preserve">  "@type": "koai:AIModel",</w:t>
        <w:br/>
        <w:t xml:space="preserve">  "dct:identifier": "my-llm-8b",</w:t>
        <w:br/>
        <w:t xml:space="preserve">  "dct:license": "https://spdx.org/licenses/Apache-2.0" }</w:t>
      </w:r>
    </w:p>
    <w:p>
      <w:pPr>
        <w:pStyle w:val="Heading2"/>
      </w:pPr>
      <w:r>
        <w:t>3.4 운영 시맨틱 (1 · 부분)</w:t>
      </w:r>
    </w:p>
    <w:p>
      <w:pPr>
        <w:spacing w:after="140" w:line="300"/>
      </w:pPr>
      <w:r>
        <w:t>Dataset을 Training/Validation/TestSet으로 나눠 split 구조는 있으나, 어떤 필드가 feature·label인지 역할 매핑과 Croissant 형식화는 없다.</w:t>
      </w:r>
    </w:p>
    <w:p>
      <w:pPr>
        <w:spacing w:after="140" w:line="300"/>
      </w:pPr>
      <w:r>
        <w:t>Croissant ML 계층으로 split·feature/label 역할을 데이터셋 수준에서 선언한다.</w:t>
      </w:r>
    </w:p>
    <w:p>
      <w:pPr>
        <w:pStyle w:val="Heading2"/>
      </w:pPr>
      <w:r>
        <w:t xml:space="preserve">3.5 출처/계보 (2 · 충족)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이 표준의 강점이다. </w:t>
      </w:r>
      <w:r>
        <w:rPr>
          <w:rFonts w:ascii="Consolas" w:cs="Consolas" w:eastAsia="Consolas" w:hAnsi="Consolas"/>
          <w:sz w:val="18"/>
          <w:szCs w:val="18"/>
        </w:rPr>
        <w:t xml:space="preserve">ModelDerivation</w:t>
      </w:r>
      <w:r>
        <w:t xml:space="preserve">이 파생 계보(파인튜닝·증류·병합)를 명시하고, Dataset·Process 클래스가 </w:t>
      </w:r>
      <w:r>
        <w:rPr>
          <w:rFonts w:ascii="Consolas" w:cs="Consolas" w:eastAsia="Consolas" w:hAnsi="Consolas"/>
          <w:sz w:val="18"/>
          <w:szCs w:val="18"/>
        </w:rPr>
        <w:t xml:space="preserve">dct:created·dct:modified</w:t>
      </w:r>
      <w:r>
        <w:t xml:space="preserve">로 시점을 남기며, TrainingProcess가 </w:t>
      </w:r>
      <w:r>
        <w:rPr>
          <w:rFonts w:ascii="Consolas" w:cs="Consolas" w:eastAsia="Consolas" w:hAnsi="Consolas"/>
          <w:sz w:val="18"/>
          <w:szCs w:val="18"/>
        </w:rPr>
        <w:t xml:space="preserve">trainingData·trainedWithComputeResource·trainingStartDate/EndDate</w:t>
      </w:r>
      <w:r>
        <w:t xml:space="preserve">로 학습 맥락을 기록한다.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자체 계보 어휘를 </w:t>
      </w:r>
      <w:r>
        <w:rPr>
          <w:b/>
          <w:bCs/>
        </w:rPr>
        <w:t xml:space="preserve">PROV-O</w:t>
      </w:r>
      <w:r>
        <w:t xml:space="preserve">와 정렬하면(예: </w:t>
      </w:r>
      <w:r>
        <w:rPr>
          <w:rFonts w:ascii="Consolas" w:cs="Consolas" w:eastAsia="Consolas" w:hAnsi="Consolas"/>
          <w:sz w:val="18"/>
          <w:szCs w:val="18"/>
        </w:rPr>
        <w:t xml:space="preserve">koai:ModelDerivation → prov:wasDerivedFrom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TrainingProcess → prov:Activity</w:t>
      </w:r>
      <w:r>
        <w:t xml:space="preserve">) 외부 도구·다른 표준과 출처 정보를 주고받을 수 있다.</w:t>
      </w:r>
    </w:p>
    <w:p>
      <w:pPr>
        <w:pStyle w:val="Heading2"/>
      </w:pPr>
      <w:r>
        <w:t xml:space="preserve">3.6 품질 프로파일 (1 · 부분)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Metric 클래스가 </w:t>
      </w:r>
      <w:r>
        <w:rPr>
          <w:rFonts w:ascii="Consolas" w:cs="Consolas" w:eastAsia="Consolas" w:hAnsi="Consolas"/>
          <w:sz w:val="18"/>
          <w:szCs w:val="18"/>
        </w:rPr>
        <w:t xml:space="preserve">F1·BLEU·Accuracy</w:t>
      </w:r>
      <w:r>
        <w:t xml:space="preserve"> 등 ‘모델 성능 평가지표’를 표현하고 EthicalConsideration 클래스로 윤리 고려사항을 담는다. 그러나 이는 모델의 성능·윤리이지, 학습에 쓴 </w:t>
      </w:r>
      <w:r>
        <w:rPr>
          <w:b/>
          <w:bCs/>
        </w:rPr>
        <w:t xml:space="preserve">데이터세트 자체의 품질</w:t>
      </w:r>
      <w:r>
        <w:t xml:space="preserve">(정확도·결측·중복·대표성)을 기술하는 형식 어휘는 아니다.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데이터세트 품질은 </w:t>
      </w:r>
      <w:r>
        <w:rPr>
          <w:b/>
          <w:bCs/>
        </w:rPr>
        <w:t xml:space="preserve">DQV</w:t>
      </w:r>
      <w:r>
        <w:t xml:space="preserve">로 별도 표현해 모델 성능지표(Metric)와 구분한다. 예: 학습 데이터의 클래스 균형·결측률을 </w:t>
      </w:r>
      <w:r>
        <w:rPr>
          <w:rFonts w:ascii="Consolas" w:cs="Consolas" w:eastAsia="Consolas" w:hAnsi="Consolas"/>
          <w:sz w:val="18"/>
          <w:szCs w:val="18"/>
        </w:rPr>
        <w:t xml:space="preserve">dqv:QualityMeasurement</w:t>
      </w:r>
      <w:r>
        <w:t xml:space="preserve">으로 부착.</w:t>
      </w:r>
    </w:p>
    <w:p>
      <w:pPr>
        <w:pStyle w:val="Heading2"/>
      </w:pPr>
      <w:r>
        <w:t xml:space="preserve">3.7 접근/사용 제약 (2 · 충족)</w:t>
      </w:r>
    </w:p>
    <w:p>
      <w:pPr>
        <w:spacing w:after="140" w:line="300"/>
      </w:pPr>
      <w:r>
        <w:rPr>
          <w:b/>
          <w:bCs/>
        </w:rPr>
        <w:t xml:space="preserve">현재 상태. </w:t>
      </w:r>
      <w:r>
        <w:t xml:space="preserve">두 겹으로 충족된다. 첫째, </w:t>
      </w:r>
      <w:r>
        <w:rPr>
          <w:rFonts w:ascii="Consolas" w:cs="Consolas" w:eastAsia="Consolas" w:hAnsi="Consolas"/>
          <w:sz w:val="18"/>
          <w:szCs w:val="18"/>
        </w:rPr>
        <w:t xml:space="preserve">license</w:t>
      </w:r>
      <w:r>
        <w:t xml:space="preserve">가 </w:t>
      </w:r>
      <w:r>
        <w:rPr>
          <w:rFonts w:ascii="Consolas" w:cs="Consolas" w:eastAsia="Consolas" w:hAnsi="Consolas"/>
          <w:sz w:val="18"/>
          <w:szCs w:val="18"/>
        </w:rPr>
        <w:t xml:space="preserve">dct:license(xsd:anyURI)</w:t>
      </w:r>
      <w:r>
        <w:t xml:space="preserve">로 AIModel·Dataset에 </w:t>
      </w:r>
      <w:r>
        <w:rPr>
          <w:b/>
          <w:bCs/>
        </w:rPr>
        <w:t xml:space="preserve">필수(M)</w:t>
      </w:r>
      <w:r>
        <w:t xml:space="preserve"> 지정돼 데이터 수준 라이선스가 기계 판독 가능하다. 둘째, </w:t>
      </w:r>
      <w:r>
        <w:rPr>
          <w:rFonts w:ascii="Consolas" w:cs="Consolas" w:eastAsia="Consolas" w:hAnsi="Consolas"/>
          <w:sz w:val="18"/>
          <w:szCs w:val="18"/>
        </w:rPr>
        <w:t xml:space="preserve">AccessService</w:t>
      </w:r>
      <w:r>
        <w:t xml:space="preserve"> 클래스(6.2.16)가 모델의 접근 정책을 ‘전체 공개/요청 필요(gated)/비공개(private)’로 구조화하고, </w:t>
      </w:r>
      <w:r>
        <w:rPr>
          <w:rFonts w:ascii="Consolas" w:cs="Consolas" w:eastAsia="Consolas" w:hAnsi="Consolas"/>
          <w:sz w:val="18"/>
          <w:szCs w:val="18"/>
        </w:rPr>
        <w:t xml:space="preserve">dcat:accessService</w:t>
      </w:r>
      <w:r>
        <w:t xml:space="preserve"> 속성으로 AIModel과 연계한다. 이는 HuggingFace의 Gated/Private 모델 개념을 온톨로지로 옮긴 것이다.</w:t>
      </w:r>
    </w:p>
    <w:p>
      <w:pPr>
        <w:spacing w:after="140" w:line="300"/>
      </w:pPr>
      <w:r>
        <w:rPr>
          <w:b/>
          <w:bCs/>
        </w:rPr>
        <w:t xml:space="preserve">어떻게 바꾸나. </w:t>
      </w:r>
      <w:r>
        <w:t xml:space="preserve">이미 충족이나, 이용 ‘조건’(상업적 사용 가부·재배포 범위 등)까지 기계가 추론하게 하려면 </w:t>
      </w:r>
      <w:r>
        <w:rPr>
          <w:b/>
          <w:bCs/>
        </w:rPr>
        <w:t xml:space="preserve">ODRL</w:t>
      </w:r>
      <w:r>
        <w:t xml:space="preserve"> 정책을 더한다. 라이선스 식별자는 SPDX URI로 고정하면 더 정밀하다.</w:t>
      </w:r>
    </w:p>
    <w:p>
      <w:pPr>
        <w:pBdr>
          <w:top w:val="single" w:color="F0D58A" w:sz="4" w:space="6"/>
          <w:left w:val="single" w:color="E8B84B" w:sz="18" w:space="8"/>
          <w:bottom w:val="single" w:color="F0D58A" w:sz="4" w:space="6"/>
          <w:right w:val="single" w:color="F0D58A" w:sz="4" w:space="6"/>
        </w:pBdr>
        <w:shd w:fill="FFF8E1" w:val="clear"/>
        <w:spacing w:after="140" w:before="60" w:line="290"/>
      </w:pPr>
      <w:r>
        <w:rPr>
          <w:b/>
          <w:bCs/>
          <w:color w:val="8A6D1A"/>
          <w:sz w:val="18"/>
          <w:szCs w:val="18"/>
        </w:rPr>
        <w:t xml:space="preserve">요약  </w:t>
      </w:r>
      <w:r>
        <w:t xml:space="preserve">시맨틱·데이터 모델·출처·접근의 네 구성요소가 이미 충족(2)이다. 남은 보강은 신태틱(@context)·운영 시맨틱(QUDT)·품질(DQV) 세 곳이며, 그중 단위와 품질이 핵심이다.</w:t>
      </w:r>
    </w:p>
    <w:p>
      <w:pPr>
        <w:pStyle w:val="Heading1"/>
      </w:pPr>
      <w:r>
        <w:t xml:space="preserve">4. 권고하는 전환 방식</w:t>
      </w:r>
    </w:p>
    <w:p>
      <w:pPr>
        <w:spacing w:after="140" w:line="300"/>
      </w:pPr>
      <w:r>
        <w:t xml:space="preserve">이 표준은 전환이 아니라 보강이 맞다. 권고 순서는 다음과 같다. (1) 검토 의견서의 인용 표준을 등재해 외부 어휘 의존을 공식화한다. (2) Parameter.unit을 QUDT/UCUM 식별자로 바꾼다(운영 시맨틱 1→2). (3) 데이터세트 품질을 DQV로 추가한다(품질 1→2). (4) JSON-LD </w:t>
      </w:r>
      <w:r>
        <w:rPr>
          <w:rFonts w:ascii="Consolas" w:cs="Consolas" w:eastAsia="Consolas" w:hAnsi="Consolas"/>
          <w:sz w:val="18"/>
          <w:szCs w:val="18"/>
        </w:rPr>
        <w:t xml:space="preserve">@context</w:t>
      </w:r>
      <w:r>
        <w:t xml:space="preserve">와 Croissant 패키징을 규범화한다(신태틱 1→2). 이 네 보강만으로 성숙도는 11/14에서 14/14에 근접한다.</w:t>
      </w:r>
    </w:p>
    <w:p>
      <w:pPr>
        <w:pStyle w:val="Heading1"/>
      </w:pPr>
      <w:r>
        <w:t xml:space="preserve">5. 요약 로드맵</w:t>
      </w:r>
    </w:p>
    <w:p>
      <w:pPr>
        <w:spacing w:after="140" w:line="300"/>
      </w:pPr>
      <w:r>
        <w:t xml:space="preserve">7개 구성요소별 연결 표준·핵심 조치·현재 등급을 정리하면 다음과 같다.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000"/>
        <w:gridCol w:w="3676"/>
        <w:gridCol w:w="1700"/>
      </w:tblGrid>
      <w:tr>
        <w:trPr>
          <w:tblHeader/>
        </w:trP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구성요소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연결 표준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핵심 조치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49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현재 등급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시맨틱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(이미 충족)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의미·상하/포함 관계를 어휘 IRI에 바인딩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 · 충족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데이터 모델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XSD·SHACL·JSON Schema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값 유형·제약·반복을 스키마로 형식화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>2 · 충족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신태틱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JSON-LD·Croissant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@context 규범화·ML 패키징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 · 부분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운영 시맨틱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Croissant 1.0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t>split·feature/label 형식 선언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t>1 · 부분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출처/계보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PROV-O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ModelDerivation을 PROV-O와 정렬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 · 충족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품질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DQV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데이터세트 품질 별도 표현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5C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1 · 부분</w:t>
            </w:r>
          </w:p>
        </w:tc>
      </w:tr>
      <w:tr>
        <w:tc>
          <w:tcPr>
            <w:tcW w:type="dxa" w:w="16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접근/제약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DCAT·ODRL</w:t>
            </w:r>
          </w:p>
        </w:tc>
        <w:tc>
          <w:tcPr>
            <w:tcW w:type="dxa" w:w="367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sz w:val="15"/>
                <w:szCs w:val="15"/>
              </w:rPr>
              <w:t xml:space="preserve">AccessService·license에 ODRL 보강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sz w:val="15"/>
                <w:szCs w:val="15"/>
              </w:rPr>
              <w:t xml:space="preserve">2 · 충족</w:t>
            </w:r>
          </w:p>
        </w:tc>
      </w:tr>
    </w:tbl>
    <w:p>
      <w:pPr>
        <w:spacing w:after="60" w:line="300"/>
      </w:pPr>
    </w:p>
    <w:p>
      <w:pPr>
        <w:pStyle w:val="Heading1"/>
      </w:pPr>
      <w:r>
        <w:t xml:space="preserve">6. 맺음말</w:t>
      </w:r>
    </w:p>
    <w:p>
      <w:pPr>
        <w:spacing w:after="140" w:line="300"/>
      </w:pPr>
      <w:r>
        <w:t xml:space="preserve">이 표준은 본 과제에서 ‘목표 지점’에 가장 가까운 사례다. 단위(운영 시맨틱)와 데이터 품질(DQV) 두 곳만 충족으로 올리면, 다른 표준의 전환이 지향해야 할 기준선이 된다. 샘플 재작성 시에는 이 표준을 ‘완성형 예시’로, 1530을 ‘전환 전/후 대비 예시’로 함께 제시하면 효과가 크다.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algun Gothic" w:cs="Malgun Gothic" w:eastAsia="Malgun Gothic" w:hAnsi="Malgun Gothic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2026-06-22T06:18:39.209Z</dcterms:created>
  <dcterms:modified xsi:type="dcterms:W3CDTF">2026-06-22T06:18:39.209Z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