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AI-Ready 메타데이터 관점에서 본</w:t>
      </w:r>
    </w:p>
    <w:p>
      <w:pPr>
        <w:spacing w:after="40"/>
        <w:jc w:val="center"/>
      </w:pPr>
      <w:r>
        <w:rPr>
          <w:b/>
          <w:bCs/>
          <w:sz w:val="23"/>
          <w:szCs w:val="23"/>
        </w:rPr>
        <w:t xml:space="preserve">AI 학습데이터 구축 공정 메타데이터 표준 분석 보고서</w:t>
      </w:r>
    </w:p>
    <w:p>
      <w:pPr>
        <w:spacing w:after="40"/>
        <w:jc w:val="center"/>
      </w:pPr>
      <w:r>
        <w:rPr>
          <w:b/>
          <w:bCs/>
          <w:sz w:val="23"/>
          <w:szCs w:val="23"/>
        </w:rPr>
        <w:t xml:space="preserve">인공지능 학습용 데이터 구축 공정 기반의 메타데이터</w:t>
      </w:r>
    </w:p>
    <w:p>
      <w:pPr>
        <w:spacing w:after="240"/>
        <w:jc w:val="center"/>
      </w:pPr>
      <w:r>
        <w:rPr>
          <w:color w:val="666666"/>
          <w:sz w:val="20"/>
          <w:szCs w:val="20"/>
        </w:rPr>
        <w:t xml:space="preserve">TTAK.KO-10.1595 (제정 2025.12.05.) · PG606</w:t>
      </w:r>
    </w:p>
    <w:p>
      <w:pPr>
        <w:spacing w:after="240"/>
        <w:jc w:val="center"/>
      </w:pPr>
      <w:r>
        <w:t>7개 구성요소 프레임워크 기반 상세 분석 · 성숙도 5/14 ≈ 36%</w:t>
      </w:r>
    </w:p>
    <w:p>
      <w:pPr>
        <w:pStyle w:val="Heading1"/>
      </w:pPr>
      <w:r>
        <w:t xml:space="preserve">들어가며</w:t>
      </w:r>
    </w:p>
    <w:p>
      <w:pPr>
        <w:spacing w:after="140" w:line="300"/>
      </w:pPr>
      <w:r>
        <w:t xml:space="preserve">이 문서는 표준 TTAK.KO-10.1595(인공지능 학습용 데이터 구축 공정 기반의 메타데이터)를 ‘AI-Ready 메타데이터’ 관점에서 분석한 보고서다. ‘AI-Ready’란 사람이 문서를 읽어야 뜻이 통하는 데이터가 아니라, 기계(AI·데이터 파이프라인)가 데이터의 의미·관계·출처·품질·이용 조건을 스스로 읽어 활용할 수 있는 상태를 말한다.</w:t>
      </w:r>
    </w:p>
    <w:p>
      <w:pPr>
        <w:spacing w:after="140" w:line="300"/>
      </w:pPr>
      <w:r>
        <w:t>이 표준은 자매 표준 1594와 정반대의 출발점에 서 있다. 1594가 같은 AI 학습데이터 도메인을 처음부터 RDF 온톨로지(19개 클래스)로 ‘형식화’한 데 비해, 1595는 구축 공정 5단계를 따라 무엇을 기록해야 하는가를 9개 항목·세부 요소로 가장 충실히 ‘열거’한 표준이다. 그 결과 출처·계보·품질·이용 제약에 해당하는 내용은 분석 대상 표준 중 가장 풍부하지만, 그 전부가 한글·영문 명칭과 산문 설명의 표로만 표현돼 전역 어휘·직렬화 같은 형식이 전무하다. 즉 1594가 ‘형식은 완성, 내용 보강 필요’라면, 1595는 ‘내용은 풍부, 형식화 필요’다. 성숙도는 5/14(약 36%)로, 시범 분석된 1530(17%)과 0976(42%) 사이에 위치한다.</w:t>
      </w:r>
      <w:r>
        <w:rPr>
          <w:b/>
          <w:bCs/>
        </w:rPr>
      </w:r>
      <w:r/>
      <w:r>
        <w:rPr>
          <w:b/>
          <w:bCs/>
        </w:rPr>
      </w:r>
      <w:r/>
      <w:r>
        <w:rPr>
          <w:b/>
          <w:bCs/>
        </w:rPr>
      </w:r>
      <w:r/>
    </w:p>
    <w:p>
      <w:pPr>
        <w:spacing w:after="140" w:line="300"/>
      </w:pPr>
      <w:r>
        <w:t xml:space="preserve">핵심 진단은 분명하다. 1595의 강점인 ‘구축 공정 중심성’은 곧 출처/계보(provenance)의 보고(寶庫)다 — 데이터 출처, 획득/수집·정제·가공 절차와 책임자·산출물, 구축년도, 공정별 결과, 버전·변경 이력이 모두 요소로 정의돼 있다. 이것을 PROV-O로 형식화하고 9개 항목을 DCAT/Croissant 어휘에 바인딩하면, 가장 짧은 경로로 성숙도를 끌어올릴 수 있다.</w:t>
      </w:r>
    </w:p>
    <w:p>
      <w:pPr>
        <w:pStyle w:val="Heading1"/>
      </w:pPr>
      <w:r>
        <w:t xml:space="preserve">1. 7개 구성요소 프레임워크</w:t>
      </w:r>
    </w:p>
    <w:p>
      <w:pPr>
        <w:spacing w:after="140" w:line="300"/>
      </w:pPr>
      <w:r>
        <w:t xml:space="preserve">AI-Ready 전환은 기존 메타데이터의 세 측면을 ‘다시 표현’하고(전환 3종), 대체로 빠져 있던 네 측면을 ‘새로 추가’하는(신규 4종) 작업이다. 괄호 안 숫자는 0(미충족)·1(부분)·2(충족) 등급이며, 7개 합계를 14로 나눈 값이 성숙도다.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ook w:firstRow="1"/>
      </w:tblPr>
      <w:tblGrid>
        <w:gridCol w:w="1800"/>
        <w:gridCol w:w="1100"/>
        <w:gridCol w:w="6126"/>
      </w:tblGrid>
      <w:tr>
        <w:trPr>
          <w:tblHeader/>
        </w:trPr>
        <w:tc>
          <w:tcPr>
            <w:tcW w:type="dxa" w:w="1800"/>
            <w:shd w:fill="2E5496" w:val="clear"/>
            <w:tcMar>
              <w:top w:type="dxa" w:w="60"/>
              <w:left w:type="dxa" w:w="80"/>
              <w:bottom w:type="dxa" w:w="60"/>
              <w:right w:type="dxa" w:w="80"/>
            </w:tcMar>
            <w:vAlign w:val="center"/>
          </w:tcPr>
          <w:p>
            <w:pPr>
              <w:spacing w:after="0" w:line="276"/>
              <w:jc w:val="center"/>
            </w:pPr>
            <w:r>
              <w:rPr>
                <w:b/>
                <w:bCs/>
                <w:color w:val="FFFFFF"/>
              </w:rPr>
              <w:t xml:space="preserve">구성요소</w:t>
            </w:r>
          </w:p>
        </w:tc>
        <w:tc>
          <w:tcPr>
            <w:tcW w:type="dxa" w:w="1100"/>
            <w:shd w:fill="2E5496" w:val="clear"/>
            <w:tcMar>
              <w:top w:type="dxa" w:w="60"/>
              <w:left w:type="dxa" w:w="80"/>
              <w:bottom w:type="dxa" w:w="60"/>
              <w:right w:type="dxa" w:w="80"/>
            </w:tcMar>
            <w:vAlign w:val="center"/>
          </w:tcPr>
          <w:p>
            <w:pPr>
              <w:spacing w:after="0" w:line="276"/>
              <w:jc w:val="center"/>
            </w:pPr>
            <w:r>
              <w:rPr>
                <w:b/>
                <w:bCs/>
                <w:color w:val="FFFFFF"/>
              </w:rPr>
              <w:t xml:space="preserve">구분</w:t>
            </w:r>
          </w:p>
        </w:tc>
        <w:tc>
          <w:tcPr>
            <w:tcW w:type="dxa" w:w="6126"/>
            <w:shd w:fill="2E5496" w:val="clear"/>
            <w:tcMar>
              <w:top w:type="dxa" w:w="60"/>
              <w:left w:type="dxa" w:w="80"/>
              <w:bottom w:type="dxa" w:w="60"/>
              <w:right w:type="dxa" w:w="80"/>
            </w:tcMar>
            <w:vAlign w:val="center"/>
          </w:tcPr>
          <w:p>
            <w:pPr>
              <w:spacing w:after="0" w:line="276"/>
              <w:jc w:val="center"/>
            </w:pPr>
            <w:r>
              <w:rPr>
                <w:b/>
                <w:bCs/>
                <w:color w:val="FFFFFF"/>
              </w:rPr>
              <w:t xml:space="preserve">한 줄 의미</w:t>
            </w:r>
          </w:p>
        </w:tc>
      </w:tr>
      <w:tr>
        <w:tc>
          <w:tcPr>
            <w:tcW w:type="dxa" w:w="1800"/>
            <w:tcMar>
              <w:top w:type="dxa" w:w="60"/>
              <w:left w:type="dxa" w:w="80"/>
              <w:bottom w:type="dxa" w:w="60"/>
              <w:right w:type="dxa" w:w="80"/>
            </w:tcMar>
            <w:vAlign w:val="center"/>
          </w:tcPr>
          <w:p>
            <w:pPr>
              <w:spacing w:after="0" w:line="276"/>
            </w:pPr>
            <w:r>
              <w:t xml:space="preserve">시맨틱</w:t>
            </w:r>
          </w:p>
        </w:tc>
        <w:tc>
          <w:tcPr>
            <w:tcW w:type="dxa" w:w="1100"/>
            <w:tcMar>
              <w:top w:type="dxa" w:w="60"/>
              <w:left w:type="dxa" w:w="80"/>
              <w:bottom w:type="dxa" w:w="60"/>
              <w:right w:type="dxa" w:w="80"/>
            </w:tcMar>
            <w:vAlign w:val="center"/>
          </w:tcPr>
          <w:p>
            <w:pPr>
              <w:spacing w:after="0" w:line="276"/>
            </w:pPr>
            <w:r>
              <w:t xml:space="preserve">전환</w:t>
            </w:r>
          </w:p>
        </w:tc>
        <w:tc>
          <w:tcPr>
            <w:tcW w:type="dxa" w:w="6126"/>
            <w:tcMar>
              <w:top w:type="dxa" w:w="60"/>
              <w:left w:type="dxa" w:w="80"/>
              <w:bottom w:type="dxa" w:w="60"/>
              <w:right w:type="dxa" w:w="80"/>
            </w:tcMar>
            <w:vAlign w:val="center"/>
          </w:tcPr>
          <w:p>
            <w:pPr>
              <w:spacing w:after="0" w:line="276"/>
            </w:pPr>
            <w:r>
              <w:t>각 항목의 의미와 항목 간 상하·포함 관계를 전역 어휘 IRI로 고정</w:t>
            </w:r>
          </w:p>
        </w:tc>
      </w:tr>
      <w:tr>
        <w:tc>
          <w:tcPr>
            <w:tcW w:type="dxa" w:w="1800"/>
            <w:tcMar>
              <w:top w:type="dxa" w:w="60"/>
              <w:left w:type="dxa" w:w="80"/>
              <w:bottom w:type="dxa" w:w="60"/>
              <w:right w:type="dxa" w:w="80"/>
            </w:tcMar>
            <w:vAlign w:val="center"/>
          </w:tcPr>
          <w:p>
            <w:pPr>
              <w:spacing w:after="0" w:line="276"/>
            </w:pPr>
            <w:r>
              <w:t xml:space="preserve">데이터 모델</w:t>
            </w:r>
          </w:p>
        </w:tc>
        <w:tc>
          <w:tcPr>
            <w:tcW w:type="dxa" w:w="1100"/>
            <w:tcMar>
              <w:top w:type="dxa" w:w="60"/>
              <w:left w:type="dxa" w:w="80"/>
              <w:bottom w:type="dxa" w:w="60"/>
              <w:right w:type="dxa" w:w="80"/>
            </w:tcMar>
            <w:vAlign w:val="center"/>
          </w:tcPr>
          <w:p>
            <w:pPr>
              <w:spacing w:after="0" w:line="276"/>
            </w:pPr>
            <w:r>
              <w:t xml:space="preserve">전환</w:t>
            </w:r>
          </w:p>
        </w:tc>
        <w:tc>
          <w:tcPr>
            <w:tcW w:type="dxa" w:w="6126"/>
            <w:tcMar>
              <w:top w:type="dxa" w:w="60"/>
              <w:left w:type="dxa" w:w="80"/>
              <w:bottom w:type="dxa" w:w="60"/>
              <w:right w:type="dxa" w:w="80"/>
            </w:tcMar>
            <w:vAlign w:val="center"/>
          </w:tcPr>
          <w:p>
            <w:pPr>
              <w:spacing w:after="0" w:line="276"/>
            </w:pPr>
            <w:r>
              <w:t>각 항목 값의 유형·제약·반복을 기계검증 스키마(XSD·SHACL)로 정의</w:t>
            </w:r>
          </w:p>
        </w:tc>
      </w:tr>
      <w:tr>
        <w:tc>
          <w:tcPr>
            <w:tcW w:type="dxa" w:w="1800"/>
            <w:tcMar>
              <w:top w:type="dxa" w:w="60"/>
              <w:left w:type="dxa" w:w="80"/>
              <w:bottom w:type="dxa" w:w="60"/>
              <w:right w:type="dxa" w:w="80"/>
            </w:tcMar>
            <w:vAlign w:val="center"/>
          </w:tcPr>
          <w:p>
            <w:pPr>
              <w:spacing w:after="0" w:line="276"/>
            </w:pPr>
            <w:r>
              <w:t xml:space="preserve">신태틱</w:t>
            </w:r>
          </w:p>
        </w:tc>
        <w:tc>
          <w:tcPr>
            <w:tcW w:type="dxa" w:w="1100"/>
            <w:tcMar>
              <w:top w:type="dxa" w:w="60"/>
              <w:left w:type="dxa" w:w="80"/>
              <w:bottom w:type="dxa" w:w="60"/>
              <w:right w:type="dxa" w:w="80"/>
            </w:tcMar>
            <w:vAlign w:val="center"/>
          </w:tcPr>
          <w:p>
            <w:pPr>
              <w:spacing w:after="0" w:line="276"/>
            </w:pPr>
            <w:r>
              <w:t xml:space="preserve">전환</w:t>
            </w:r>
          </w:p>
        </w:tc>
        <w:tc>
          <w:tcPr>
            <w:tcW w:type="dxa" w:w="6126"/>
            <w:tcMar>
              <w:top w:type="dxa" w:w="60"/>
              <w:left w:type="dxa" w:w="80"/>
              <w:bottom w:type="dxa" w:w="60"/>
              <w:right w:type="dxa" w:w="80"/>
            </w:tcMar>
            <w:vAlign w:val="center"/>
          </w:tcPr>
          <w:p>
            <w:pPr>
              <w:spacing w:after="0" w:line="276"/>
            </w:pPr>
            <w:r>
              <w:t xml:space="preserve">의미·구조를 적는 표준 직렬화 형식(JSON-LD·RDF 등)</w:t>
            </w:r>
          </w:p>
        </w:tc>
      </w:tr>
      <w:tr>
        <w:tc>
          <w:tcPr>
            <w:tcW w:type="dxa" w:w="1800"/>
            <w:tcMar>
              <w:top w:type="dxa" w:w="60"/>
              <w:left w:type="dxa" w:w="80"/>
              <w:bottom w:type="dxa" w:w="60"/>
              <w:right w:type="dxa" w:w="80"/>
            </w:tcMar>
            <w:vAlign w:val="center"/>
          </w:tcPr>
          <w:p>
            <w:pPr>
              <w:spacing w:after="0" w:line="276"/>
            </w:pPr>
            <w:r>
              <w:t xml:space="preserve">운영 시맨틱</w:t>
            </w:r>
          </w:p>
        </w:tc>
        <w:tc>
          <w:tcPr>
            <w:tcW w:type="dxa" w:w="1100"/>
            <w:tcMar>
              <w:top w:type="dxa" w:w="60"/>
              <w:left w:type="dxa" w:w="80"/>
              <w:bottom w:type="dxa" w:w="60"/>
              <w:right w:type="dxa" w:w="80"/>
            </w:tcMar>
            <w:vAlign w:val="center"/>
          </w:tcPr>
          <w:p>
            <w:pPr>
              <w:spacing w:after="0" w:line="276"/>
            </w:pPr>
            <w:r>
              <w:t xml:space="preserve">신규</w:t>
            </w:r>
          </w:p>
        </w:tc>
        <w:tc>
          <w:tcPr>
            <w:tcW w:type="dxa" w:w="6126"/>
            <w:tcMar>
              <w:top w:type="dxa" w:w="60"/>
              <w:left w:type="dxa" w:w="80"/>
              <w:bottom w:type="dxa" w:w="60"/>
              <w:right w:type="dxa" w:w="80"/>
            </w:tcMar>
            <w:vAlign w:val="center"/>
          </w:tcPr>
          <w:p>
            <w:pPr>
              <w:spacing w:after="0" w:line="276"/>
            </w:pPr>
            <w:r>
              <w:t>AI/ML이 데이터를 어떻게 쓰는지(train/val/test split·feature/label 역할)를 정의</w:t>
            </w:r>
          </w:p>
        </w:tc>
      </w:tr>
      <w:tr>
        <w:tc>
          <w:tcPr>
            <w:tcW w:type="dxa" w:w="1800"/>
            <w:tcMar>
              <w:top w:type="dxa" w:w="60"/>
              <w:left w:type="dxa" w:w="80"/>
              <w:bottom w:type="dxa" w:w="60"/>
              <w:right w:type="dxa" w:w="80"/>
            </w:tcMar>
            <w:vAlign w:val="center"/>
          </w:tcPr>
          <w:p>
            <w:pPr>
              <w:spacing w:after="0" w:line="276"/>
            </w:pPr>
            <w:r>
              <w:t xml:space="preserve">출처/계보</w:t>
            </w:r>
          </w:p>
        </w:tc>
        <w:tc>
          <w:tcPr>
            <w:tcW w:type="dxa" w:w="1100"/>
            <w:tcMar>
              <w:top w:type="dxa" w:w="60"/>
              <w:left w:type="dxa" w:w="80"/>
              <w:bottom w:type="dxa" w:w="60"/>
              <w:right w:type="dxa" w:w="80"/>
            </w:tcMar>
            <w:vAlign w:val="center"/>
          </w:tcPr>
          <w:p>
            <w:pPr>
              <w:spacing w:after="0" w:line="276"/>
            </w:pPr>
            <w:r>
              <w:t xml:space="preserve">신규</w:t>
            </w:r>
          </w:p>
        </w:tc>
        <w:tc>
          <w:tcPr>
            <w:tcW w:type="dxa" w:w="6126"/>
            <w:tcMar>
              <w:top w:type="dxa" w:w="60"/>
              <w:left w:type="dxa" w:w="80"/>
              <w:bottom w:type="dxa" w:w="60"/>
              <w:right w:type="dxa" w:w="80"/>
            </w:tcMar>
            <w:vAlign w:val="center"/>
          </w:tcPr>
          <w:p>
            <w:pPr>
              <w:spacing w:after="0" w:line="276"/>
            </w:pPr>
            <w:r>
              <w:t xml:space="preserve">누가·언제·어떤 과정으로 생성·가공됐는지 이력</w:t>
            </w:r>
          </w:p>
        </w:tc>
      </w:tr>
      <w:tr>
        <w:tc>
          <w:tcPr>
            <w:tcW w:type="dxa" w:w="1800"/>
            <w:tcMar>
              <w:top w:type="dxa" w:w="60"/>
              <w:left w:type="dxa" w:w="80"/>
              <w:bottom w:type="dxa" w:w="60"/>
              <w:right w:type="dxa" w:w="80"/>
            </w:tcMar>
            <w:vAlign w:val="center"/>
          </w:tcPr>
          <w:p>
            <w:pPr>
              <w:spacing w:after="0" w:line="276"/>
            </w:pPr>
            <w:r>
              <w:t xml:space="preserve">품질 프로파일</w:t>
            </w:r>
          </w:p>
        </w:tc>
        <w:tc>
          <w:tcPr>
            <w:tcW w:type="dxa" w:w="1100"/>
            <w:tcMar>
              <w:top w:type="dxa" w:w="60"/>
              <w:left w:type="dxa" w:w="80"/>
              <w:bottom w:type="dxa" w:w="60"/>
              <w:right w:type="dxa" w:w="80"/>
            </w:tcMar>
            <w:vAlign w:val="center"/>
          </w:tcPr>
          <w:p>
            <w:pPr>
              <w:spacing w:after="0" w:line="276"/>
            </w:pPr>
            <w:r>
              <w:t xml:space="preserve">신규</w:t>
            </w:r>
          </w:p>
        </w:tc>
        <w:tc>
          <w:tcPr>
            <w:tcW w:type="dxa" w:w="6126"/>
            <w:tcMar>
              <w:top w:type="dxa" w:w="60"/>
              <w:left w:type="dxa" w:w="80"/>
              <w:bottom w:type="dxa" w:w="60"/>
              <w:right w:type="dxa" w:w="80"/>
            </w:tcMar>
            <w:vAlign w:val="center"/>
          </w:tcPr>
          <w:p>
            <w:pPr>
              <w:spacing w:after="0" w:line="276"/>
            </w:pPr>
            <w:r>
              <w:t xml:space="preserve">정확도·결측·이상치 등 품질을 형식 어휘로 기술</w:t>
            </w:r>
          </w:p>
        </w:tc>
      </w:tr>
      <w:tr>
        <w:tc>
          <w:tcPr>
            <w:tcW w:type="dxa" w:w="1800"/>
            <w:tcMar>
              <w:top w:type="dxa" w:w="60"/>
              <w:left w:type="dxa" w:w="80"/>
              <w:bottom w:type="dxa" w:w="60"/>
              <w:right w:type="dxa" w:w="80"/>
            </w:tcMar>
            <w:vAlign w:val="center"/>
          </w:tcPr>
          <w:p>
            <w:pPr>
              <w:spacing w:after="0" w:line="276"/>
            </w:pPr>
            <w:r>
              <w:t xml:space="preserve">접근/사용 제약</w:t>
            </w:r>
          </w:p>
        </w:tc>
        <w:tc>
          <w:tcPr>
            <w:tcW w:type="dxa" w:w="1100"/>
            <w:tcMar>
              <w:top w:type="dxa" w:w="60"/>
              <w:left w:type="dxa" w:w="80"/>
              <w:bottom w:type="dxa" w:w="60"/>
              <w:right w:type="dxa" w:w="80"/>
            </w:tcMar>
            <w:vAlign w:val="center"/>
          </w:tcPr>
          <w:p>
            <w:pPr>
              <w:spacing w:after="0" w:line="276"/>
            </w:pPr>
            <w:r>
              <w:t xml:space="preserve">신규</w:t>
            </w:r>
          </w:p>
        </w:tc>
        <w:tc>
          <w:tcPr>
            <w:tcW w:type="dxa" w:w="6126"/>
            <w:tcMar>
              <w:top w:type="dxa" w:w="60"/>
              <w:left w:type="dxa" w:w="80"/>
              <w:bottom w:type="dxa" w:w="60"/>
              <w:right w:type="dxa" w:w="80"/>
            </w:tcMar>
            <w:vAlign w:val="center"/>
          </w:tcPr>
          <w:p>
            <w:pPr>
              <w:spacing w:after="0" w:line="276"/>
            </w:pPr>
            <w:r>
              <w:t xml:space="preserve">라이선스·접근 권한·이용 조건을 데이터에 결합</w:t>
            </w:r>
          </w:p>
        </w:tc>
      </w:tr>
    </w:tbl>
    <w:p>
      <w:pPr>
        <w:pStyle w:val="Heading1"/>
      </w:pPr>
      <w:r>
        <w:t xml:space="preserve">2. 먼저 알아두면 좋은 표준과 어휘</w:t>
      </w:r>
    </w:p>
    <w:p>
      <w:pPr>
        <w:pStyle w:val="Heading2"/>
      </w:pPr>
      <w:r>
        <w:t xml:space="preserve">2.1 의미 표현의 기초 — RDF · IRI · JSON-LD</w:t>
      </w:r>
    </w:p>
    <w:p>
      <w:pPr>
        <w:spacing w:after="140" w:line="300"/>
      </w:pPr>
      <w:r>
        <w:t>AI-Ready 표현의 바탕에는 W3C의 RDF 데이터 모델이 있다. RDF는 모든 사실을 ‘주어–서술어–목적어’ 트리플로 적고, 각 개념을 IRI(웹 주소 형태의 고유 이름)로 가리켜 누구나 같은 개념을 같은 주소로 참조하게 한다. 이를 파일로 적는 형식이 직렬화인데, 기존 JSON에 의미를 더하는 JSON-LD의 @context는 ‘이 JSON 키들이 어떤 IRI를 가리키는지’를 알려주어, 기존 데이터를 거의 그대로 둔 채 의미만 입히는 최소 전환 장치다. 1595처럼 항목·요소가 한/영 명칭으로 잘 정리된 표준은 @context 한 장으로 의미를 입히기에 특히 유리하다.</w:t>
      </w:r>
    </w:p>
    <w:p>
      <w:pPr>
        <w:pStyle w:val="Heading2"/>
      </w:pPr>
      <w:r>
        <w:t xml:space="preserve">2.2 핵심 어휘</w:t>
      </w:r>
    </w:p>
    <w:p>
      <w:pPr>
        <w:spacing w:after="140" w:line="300"/>
      </w:pPr>
      <w:r>
        <w:rPr>
          <w:b/>
          <w:bCs/>
        </w:rPr>
        <w:t xml:space="preserve">DCAT v3 · Croissant · schema.org (W3C · MLCommons · community)</w:t>
      </w:r>
      <w:r>
        <w:t xml:space="preserve"> DCAT는 데이터셋·배포본을 기술하는 카탈로그 어휘(dcat:Dataset·dcat:distribution·dct:title 등), schema.org는 범용 의미 어휘, Croissant는 여러 파일을 ‘하나의 ML 데이터셋’으로 묶는 JSON-LD 포장 형식이다. 1595의 데이터 개요·유형별·저장구조 항목이 여기에 직접 대응한다.</w:t>
      </w:r>
    </w:p>
    <w:p>
      <w:pPr>
        <w:spacing w:after="140" w:line="300"/>
      </w:pPr>
      <w:r>
        <w:rPr>
          <w:b/>
          <w:bCs/>
        </w:rPr>
        <w:t xml:space="preserve">PROV-O (W3C)</w:t>
      </w:r>
      <w:r>
        <w:t xml:space="preserve"> 데이터의 출처·생성 이력(계보)을 표현하는 표준. prov:Activity·prov:wasGeneratedBy·wasDerivedFrom·wasAttributedTo로 ‘무엇이 어떤 활동으로 누구에 의해 생성·파생됐는가’를 그래프로 남긴다. 1595의 구축 절차(획득/수집·정제·가공)·책임자·산출물·공정 결과가 그대로 PROV 그래프가 된다.</w:t>
      </w:r>
    </w:p>
    <w:p>
      <w:pPr>
        <w:spacing w:after="140" w:line="300"/>
      </w:pPr>
      <w:r>
        <w:rPr>
          <w:b/>
          <w:bCs/>
        </w:rPr>
        <w:t xml:space="preserve">DQV · SHACL (W3C)</w:t>
      </w:r>
      <w:r>
        <w:t xml:space="preserve"> DQV는 데이터 품질을 형식적으로 기술하는 어휘(dqv:Dimension·dqv:QualityMeasurement)이고, SHACL은 RDF가 규칙(필수 항목·값 범위·열거값)을 지키는지 자동 검증하는 표준이다. 1595의 정제/가공 기준과 평가 성능지표(6-5)가 품질 측정값·검증 규칙으로 옮겨진다.</w:t>
      </w:r>
    </w:p>
    <w:p>
      <w:pPr>
        <w:spacing w:after="140" w:line="300"/>
      </w:pPr>
      <w:r>
        <w:rPr>
          <w:b/>
          <w:bCs/>
        </w:rPr>
        <w:t xml:space="preserve">QUDT/UCUM · SKOS (QUDT.org · Regenstrief · W3C)</w:t>
      </w:r>
      <w:r>
        <w:t xml:space="preserve"> QUDT/UCUM은 단위·물리량을 IRI 또는 파싱 가능한 코드로 표현하고, SKOS는 통제어·분류체계(데이터 분야·영역·라벨링 유형 등)를 표현한다. 1595의 키워드형 항목(데이터 구분·분야·영역)을 SKOS 개념으로 바꾸면 검색·집계가 기계화된다.</w:t>
      </w:r>
    </w:p>
    <w:p>
      <w:pPr>
        <w:pStyle w:val="Heading1"/>
      </w:pPr>
      <w:r>
        <w:t xml:space="preserve">3. 7개 구성요소별 상세 분석</w:t>
      </w:r>
    </w:p>
    <w:p>
      <w:pPr>
        <w:spacing w:after="140" w:line="300"/>
      </w:pPr>
      <w:r>
        <w:t xml:space="preserve">각 구성요소마다 ‘현재 상태(이 표준의 실제 요소를 들어) → 무엇이 부족한가 → 어떻게 바꾸나’ 순서로 분석한다. 필요한 곳에는 전환 예시(JSON-LD·PROV-O 등)를 덧붙인다.</w:t>
      </w:r>
    </w:p>
    <w:p>
      <w:pPr>
        <w:pStyle w:val="Heading2"/>
      </w:pPr>
      <w:r>
        <w:t xml:space="preserve">3.1 시맨틱 (0 · 미충족)</w:t>
      </w:r>
    </w:p>
    <w:p>
      <w:pPr>
        <w:spacing w:after="140" w:line="300"/>
      </w:pPr>
      <w:r>
        <w:t xml:space="preserve">현재 상태. 9개 항목과 그 세부 요소(데이터세트명·데이터 분야·데이터 출처·라벨링 유형 등)가 한글·영문 명칭과 산문 설명으로 정의된다. 그러나 어떤 요소도 DCAT·schema.org·DCMI 같은 전역 어휘에 연결돼 있지 않고 IRI도 부여돼 있지 않다. 1594가 koai 네임스페이스로, 0976이 DCMI·DataCite를 ‘관련 출처’로 둔 것과 달리, 1595에는 외부 어휘 연결이 전무하다.</w:t>
      </w:r>
    </w:p>
    <w:p>
      <w:pPr>
        <w:spacing w:after="140" w:line="300"/>
      </w:pPr>
      <w:r>
        <w:t xml:space="preserve">어떻게 바꾸나. 9개 항목을 전역 어휘에 매핑하는 표를 부속서에 둔다 — 예: 데이터세트명→dct:title, 데이터 분야→dcat:theme(skos:Concept), 데이터 출처→dct:source/prov:wasDerivedFrom, 데이터 파일 형식→dcat:mediaType. 1595는 요소가 이미 잘 분해돼 있어, 이 매핑표 하나로 시맨틱 0→2 전환의 토대가 마련된다.</w:t>
      </w:r>
    </w:p>
    <w:p>
      <w:pPr>
        <w:pStyle w:val="Heading2"/>
      </w:pPr>
      <w:r>
        <w:t>3.2 데이터 모델 (1 · 부분)</w:t>
      </w:r>
    </w:p>
    <w:p>
      <w:pPr>
        <w:spacing w:after="140" w:line="300"/>
      </w:pPr>
      <w:r>
        <w:t>요소명·필수여부(M/O/R)는 표로 정리하나, 각 요소 값의 데이터 타입·제약은 정의돼 있지 않다.</w:t>
      </w:r>
    </w:p>
    <w:p>
      <w:pPr>
        <w:spacing w:after="140" w:line="300"/>
      </w:pPr>
      <w:r>
        <w:t>값 타입·단위·카디널리티를 표에 추가하고 SHACL/JSON Schema로 형식화한다.</w:t>
      </w:r>
    </w:p>
    <w:p>
      <w:pPr>
        <w:pStyle w:val="Heading2"/>
      </w:pPr>
      <w:r>
        <w:t xml:space="preserve">3.3 신태틱 (0 · 미충족)</w:t>
      </w:r>
    </w:p>
    <w:p>
      <w:pPr>
        <w:spacing w:after="140" w:line="300"/>
      </w:pPr>
      <w:r>
        <w:t xml:space="preserve">현재 상태. 메타데이터를 적는 규범 직렬화 형식이 없다. 표 5-2 ‘메타데이터 속성 표기’는 요소를 문서로 적는 서식(ID·요소명·설명·필수여부)일 뿐, JSON-LD·RDF 같은 데이터 직렬화가 아니다. 부록의 사용 예시도 모두 표·산문이다. 본문이 언급하는 JSON·XML·CSV는 ‘기술 대상 데이터의 파일 형식’이지 메타데이터 자체의 직렬화가 아니다.</w:t>
      </w:r>
    </w:p>
    <w:p>
      <w:pPr>
        <w:spacing w:after="140" w:line="300"/>
      </w:pPr>
      <w:r>
        <w:t xml:space="preserve">어떻게 바꾸나. 9개 항목에 대한 JSON-LD @context를 규범으로 제공하고, ML 학습 데이터세트는 Croissant로 패키징한다. 아래는 데이터 개요·출처 요소에 의미를 입힌 최소 예시다.</w:t>
      </w:r>
    </w:p>
    <w:p>
      <w:pPr>
        <w:spacing w:after="140" w:line="300"/>
      </w:pPr>
      <w:r>
        <w:t xml:space="preserve">{ "@context": { "dct": "http://purl.org/dc/terms/", "dcat": "http://www.w3.org/ns/dcat#", "prov": "http://www.w3.org/ns/prov#" }, "@type": "dcat:Dataset", "dct:title": "법률 문서 데이터", "dcat:theme": "법률", "prov:wasDerivedFrom": "법제처 국가법령정보센터" }</w:t>
      </w:r>
    </w:p>
    <w:p>
      <w:pPr>
        <w:pStyle w:val="Heading2"/>
      </w:pPr>
      <w:r>
        <w:t>3.4 운영 시맨틱 (1 · 부분)</w:t>
      </w:r>
    </w:p>
    <w:p>
      <w:pPr>
        <w:spacing w:after="140" w:line="300"/>
      </w:pPr>
      <w:r>
        <w:t>6.6·6-3에 학습/검증/평가 80:10:10 split을 산문·예시로 기술하나 feature/label 역할 매핑·형식화는 없다.</w:t>
      </w:r>
    </w:p>
    <w:p>
      <w:pPr>
        <w:spacing w:after="140" w:line="300"/>
      </w:pPr>
      <w:r>
        <w:t>split·feature/label을 Croissant ML 계층으로 형식 선언한다.</w:t>
      </w:r>
    </w:p>
    <w:p>
      <w:pPr>
        <w:pStyle w:val="Heading2"/>
      </w:pPr>
      <w:r>
        <w:t xml:space="preserve">3.5 출처/계보 (1 · 부분)</w:t>
      </w:r>
    </w:p>
    <w:p>
      <w:pPr>
        <w:spacing w:after="140" w:line="300"/>
      </w:pPr>
      <w:r>
        <w:t xml:space="preserve">현재 상태. 이 표준의 가장 큰 강점이다. 데이터 출처(2-4), 데이터 구축 절차 정보(6.5: 획득/수집·정제·가공 절차와 각 공정의 책임자·문서·산출물), 데이터세트 구축년도(7-2), 공정별 결과(7-4~7-6: 계획 대비 차이 포함), 데이터세트 버전(9-1)·변경 이력(9-2)까지 — ‘누가·언제·무엇으로부터·어떤 과정을 거쳐’ 데이터가 만들어졌는지가 요소로 정의돼 있다. 분석 대상 표준 중 계보 ‘내용’이 가장 풍부하다. 다만 이 정보가 여러 항목에 산문 필드로 흩어져 있고 PROV-O로 형식화돼 있지는 않아 등급 1에 머문다.</w:t>
      </w:r>
    </w:p>
    <w:p>
      <w:pPr>
        <w:spacing w:after="140" w:line="300"/>
      </w:pPr>
      <w:r>
        <w:t xml:space="preserve">어떻게 바꾸나. 구축 공정 5단계를 prov:Activity로, 각 산출물(원시·원천·가공 데이터)을 prov:Entity로 두고 prov:wasGeneratedBy·used·wasDerivedFrom·wasAttributedTo(책임자)로 잇는다. 1595는 그 활동·산출물·책임자가 이미 요소로 정리돼 있어 PROV 그래프로의 ‘기계적 번역’이 가능하다 — 본 과제에서 출처/계보 전환의 모범 사례로 삼기에 가장 적합하다.</w:t>
      </w:r>
    </w:p>
    <w:p>
      <w:pPr>
        <w:pStyle w:val="Heading2"/>
      </w:pPr>
      <w:r>
        <w:t xml:space="preserve">3.6 품질 프로파일 (1 · 부분)</w:t>
      </w:r>
    </w:p>
    <w:p>
      <w:pPr>
        <w:spacing w:after="140" w:line="300"/>
      </w:pPr>
      <w:r>
        <w:t xml:space="preserve">현재 상태. 표준 전체가 품질관리 프레임워크를 표방하며, 정제 기준(5-5)·가공 기준(5-6)으로 품질 기준을, 모델 유효성 검증(6.6)과 평가 성능지표·목표(6-5: 예 ROUGE-L 60%)로 결과 품질을 기술한다. 그러나 이는 ‘공정 기준’과 ‘모델 성능’이며, 데이터셋 자체의 품질 차원(정확도·완전성·중복·대표성)을 형식 어휘로 기술하지는 않는다.</w:t>
      </w:r>
    </w:p>
    <w:p>
      <w:pPr>
        <w:spacing w:after="140" w:line="300"/>
      </w:pPr>
      <w:r>
        <w:t xml:space="preserve">어떻게 바꾸나. 정제/가공 기준을 SHACL 제약(sh:pattern·sh:minCount 등)으로, 평가지표를 DQV 측정값(dqv:QualityMeasurement)으로 옮긴다. 데이터 분포(3-2)·공정 결과(7-4~6)의 계획 대비 차이는 대표성·완전성 차원의 좋은 품질 신호이므로 dqv:Dimension에 연결한다.</w:t>
      </w:r>
    </w:p>
    <w:p>
      <w:pPr>
        <w:pStyle w:val="Heading2"/>
      </w:pPr>
      <w:r>
        <w:t xml:space="preserve">3.7 접근/사용 제약 (1 · 부분)</w:t>
      </w:r>
    </w:p>
    <w:p>
      <w:pPr>
        <w:spacing w:after="140" w:line="300"/>
      </w:pPr>
      <w:r>
        <w:t xml:space="preserve">현재 상태. 데이터 사용 시 고려사항(6.8)이 개인정보보호 유의사항·법/제도 준수·권리 획득(예: 크라우드 워커 개인정보 동의)을 담고, 기타(9)가 데이터 사용 제약사항을 기술한다. 이용 제약의 ‘내용’은 존재하나, dct:license·dcat:accessRights·ODRL 같은 데이터 수준의 형식 어휘로 결합돼 있지 않고 산문·표 수준에 머문다.</w:t>
      </w:r>
    </w:p>
    <w:p>
      <w:pPr>
        <w:spacing w:after="140" w:line="300"/>
      </w:pPr>
      <w:r>
        <w:t xml:space="preserve">어떻게 바꾸나. 라이선스·접근권을 dct:license(SPDX URI)·dct:accessRights로 데이터셋에 부착하고, 상업적 사용 가부·재배포 범위 등 이용 조건은 ODRL 정책으로 표현한다. 개인정보·권리 획득 항목은 prov(출처)와 ODRL(제약)에 나누어 연결한다.</w:t>
      </w:r>
    </w:p>
    <w:p>
      <w:pPr>
        <w:spacing w:after="140" w:line="300"/>
      </w:pPr>
      <w:r>
        <w:rPr>
          <w:b/>
          <w:bCs/>
        </w:rPr>
        <w:t xml:space="preserve">요약</w:t>
      </w:r>
      <w:r>
        <w:t xml:space="preserve"> 출처/계보·품질·접근의 세 신규 구성요소가 모두 ‘내용은 있으나 형식 미완(1)’이고, 전환 3종 중 시맨틱·신태틱이 0이다. 즉 1595는 ‘적을 것은 다 적었으나 기계가 읽게 적지는 않은’ 상태다.</w:t>
      </w:r>
    </w:p>
    <w:p>
      <w:pPr>
        <w:pStyle w:val="Heading1"/>
      </w:pPr>
      <w:r>
        <w:t xml:space="preserve">4. 권고하는 전환 방식</w:t>
      </w:r>
    </w:p>
    <w:p>
      <w:pPr>
        <w:spacing w:after="140" w:line="300"/>
      </w:pPr>
      <w:r>
        <w:t>이 표준은 ‘전환’의 전형이며, 그 경로가 짧다. 권고 순서는 다음과 같다. (1) 9개 항목·세부 요소를 DCAT·schema.org·PROV-O에 매핑하는 표를 부속서에 추가한다(시맨틱 0→2). (2) 그 매핑을 JSON-LD @context로 규범화하고 ML 데이터는 Croissant로 패키징한다(신태틱 0→2). (3) 구축 공정 5단계와 산출물·책임자를 PROV-O 그래프로 형식화한다(출처/계보 1→2) — 1595의 강점을 가장 크게 살리는 단계다. (4) 단위·통계를 UCUM/QUDT·DQV로, 분류 키워드를 SKOS로 형식화한다(운영 시맨틱 0→1·2, 품질 1→2). 이 네 단계로 성숙도는 5/14에서 12/14 이상으로 도약한다.</w:t>
      </w:r>
    </w:p>
    <w:p>
      <w:pPr>
        <w:pStyle w:val="Heading1"/>
      </w:pPr>
      <w:r>
        <w:t xml:space="preserve">5. 요약 로드맵</w:t>
      </w:r>
    </w:p>
    <w:p>
      <w:pPr>
        <w:spacing w:after="140" w:line="300"/>
      </w:pPr>
      <w:r>
        <w:t xml:space="preserve">7개 구성요소별 연결 표준·핵심 조치·현재 등급을 정리하면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ook w:firstRow="1"/>
      </w:tblPr>
      <w:tblGrid>
        <w:gridCol w:w="1700"/>
        <w:gridCol w:w="2300"/>
        <w:gridCol w:w="3526"/>
        <w:gridCol w:w="1500"/>
      </w:tblGrid>
      <w:tr>
        <w:trPr>
          <w:tblHeader/>
        </w:trPr>
        <w:tc>
          <w:tcPr>
            <w:tcW w:type="dxa" w:w="1700"/>
            <w:shd w:fill="2E5496" w:val="clear"/>
            <w:tcMar>
              <w:top w:type="dxa" w:w="60"/>
              <w:left w:type="dxa" w:w="80"/>
              <w:bottom w:type="dxa" w:w="60"/>
              <w:right w:type="dxa" w:w="80"/>
            </w:tcMar>
            <w:vAlign w:val="center"/>
          </w:tcPr>
          <w:p>
            <w:pPr>
              <w:spacing w:after="0" w:line="276"/>
              <w:jc w:val="center"/>
            </w:pPr>
            <w:r>
              <w:rPr>
                <w:b/>
                <w:bCs/>
                <w:color w:val="FFFFFF"/>
              </w:rPr>
              <w:t xml:space="preserve">구성요소</w:t>
            </w:r>
          </w:p>
        </w:tc>
        <w:tc>
          <w:tcPr>
            <w:tcW w:type="dxa" w:w="2300"/>
            <w:shd w:fill="2E5496" w:val="clear"/>
            <w:tcMar>
              <w:top w:type="dxa" w:w="60"/>
              <w:left w:type="dxa" w:w="80"/>
              <w:bottom w:type="dxa" w:w="60"/>
              <w:right w:type="dxa" w:w="80"/>
            </w:tcMar>
            <w:vAlign w:val="center"/>
          </w:tcPr>
          <w:p>
            <w:pPr>
              <w:spacing w:after="0" w:line="276"/>
              <w:jc w:val="center"/>
            </w:pPr>
            <w:r>
              <w:rPr>
                <w:b/>
                <w:bCs/>
                <w:color w:val="FFFFFF"/>
              </w:rPr>
              <w:t xml:space="preserve">연결 표준</w:t>
            </w:r>
          </w:p>
        </w:tc>
        <w:tc>
          <w:tcPr>
            <w:tcW w:type="dxa" w:w="3526"/>
            <w:shd w:fill="2E5496" w:val="clear"/>
            <w:tcMar>
              <w:top w:type="dxa" w:w="60"/>
              <w:left w:type="dxa" w:w="80"/>
              <w:bottom w:type="dxa" w:w="60"/>
              <w:right w:type="dxa" w:w="80"/>
            </w:tcMar>
            <w:vAlign w:val="center"/>
          </w:tcPr>
          <w:p>
            <w:pPr>
              <w:spacing w:after="0" w:line="276"/>
              <w:jc w:val="center"/>
            </w:pPr>
            <w:r>
              <w:rPr>
                <w:b/>
                <w:bCs/>
                <w:color w:val="FFFFFF"/>
              </w:rPr>
              <w:t xml:space="preserve">핵심 조치</w:t>
            </w:r>
          </w:p>
        </w:tc>
        <w:tc>
          <w:tcPr>
            <w:tcW w:type="dxa" w:w="1500"/>
            <w:shd w:fill="2E5496" w:val="clear"/>
            <w:tcMar>
              <w:top w:type="dxa" w:w="60"/>
              <w:left w:type="dxa" w:w="80"/>
              <w:bottom w:type="dxa" w:w="60"/>
              <w:right w:type="dxa" w:w="80"/>
            </w:tcMar>
            <w:vAlign w:val="center"/>
          </w:tcPr>
          <w:p>
            <w:pPr>
              <w:spacing w:after="0" w:line="276"/>
              <w:jc w:val="center"/>
            </w:pPr>
            <w:r>
              <w:rPr>
                <w:b/>
                <w:bCs/>
                <w:color w:val="FFFFFF"/>
              </w:rPr>
              <w:t xml:space="preserve">현재 등급</w:t>
            </w:r>
          </w:p>
        </w:tc>
      </w:tr>
      <w:tr>
        <w:tc>
          <w:tcPr>
            <w:tcW w:type="dxa" w:w="1700"/>
            <w:tcMar>
              <w:top w:type="dxa" w:w="60"/>
              <w:left w:type="dxa" w:w="80"/>
              <w:bottom w:type="dxa" w:w="60"/>
              <w:right w:type="dxa" w:w="80"/>
            </w:tcMar>
            <w:vAlign w:val="center"/>
          </w:tcPr>
          <w:p>
            <w:pPr>
              <w:spacing w:after="0" w:line="276"/>
            </w:pPr>
            <w:r>
              <w:t xml:space="preserve">시맨틱</w:t>
            </w:r>
          </w:p>
        </w:tc>
        <w:tc>
          <w:tcPr>
            <w:tcW w:type="dxa" w:w="2300"/>
            <w:tcMar>
              <w:top w:type="dxa" w:w="60"/>
              <w:left w:type="dxa" w:w="80"/>
              <w:bottom w:type="dxa" w:w="60"/>
              <w:right w:type="dxa" w:w="80"/>
            </w:tcMar>
            <w:vAlign w:val="center"/>
          </w:tcPr>
          <w:p>
            <w:pPr>
              <w:spacing w:after="0" w:line="276"/>
            </w:pPr>
            <w:r>
              <w:t xml:space="preserve">DCAT·Croissant·schema.org</w:t>
            </w:r>
          </w:p>
        </w:tc>
        <w:tc>
          <w:tcPr>
            <w:tcW w:type="dxa" w:w="3526"/>
            <w:tcMar>
              <w:top w:type="dxa" w:w="60"/>
              <w:left w:type="dxa" w:w="80"/>
              <w:bottom w:type="dxa" w:w="60"/>
              <w:right w:type="dxa" w:w="80"/>
            </w:tcMar>
            <w:vAlign w:val="center"/>
          </w:tcPr>
          <w:p>
            <w:pPr>
              <w:spacing w:after="0" w:line="276"/>
            </w:pPr>
            <w:r>
              <w:t>의미·상하/포함 관계를 어휘 IRI에 바인딩</w:t>
            </w:r>
          </w:p>
        </w:tc>
        <w:tc>
          <w:tcPr>
            <w:tcW w:type="dxa" w:w="1500"/>
            <w:tcMar>
              <w:top w:type="dxa" w:w="60"/>
              <w:left w:type="dxa" w:w="80"/>
              <w:bottom w:type="dxa" w:w="60"/>
              <w:right w:type="dxa" w:w="80"/>
            </w:tcMar>
            <w:vAlign w:val="center"/>
          </w:tcPr>
          <w:p>
            <w:pPr>
              <w:spacing w:after="0" w:line="276"/>
            </w:pPr>
            <w:r>
              <w:t xml:space="preserve">0 · 미충족</w:t>
            </w:r>
          </w:p>
        </w:tc>
      </w:tr>
      <w:tr>
        <w:tc>
          <w:tcPr>
            <w:tcW w:type="dxa" w:w="1700"/>
            <w:tcMar>
              <w:top w:type="dxa" w:w="60"/>
              <w:left w:type="dxa" w:w="80"/>
              <w:bottom w:type="dxa" w:w="60"/>
              <w:right w:type="dxa" w:w="80"/>
            </w:tcMar>
            <w:vAlign w:val="center"/>
          </w:tcPr>
          <w:p>
            <w:pPr>
              <w:spacing w:after="0" w:line="276"/>
            </w:pPr>
            <w:r>
              <w:t xml:space="preserve">데이터 모델</w:t>
            </w:r>
          </w:p>
        </w:tc>
        <w:tc>
          <w:tcPr>
            <w:tcW w:type="dxa" w:w="2300"/>
            <w:tcMar>
              <w:top w:type="dxa" w:w="60"/>
              <w:left w:type="dxa" w:w="80"/>
              <w:bottom w:type="dxa" w:w="60"/>
              <w:right w:type="dxa" w:w="80"/>
            </w:tcMar>
            <w:vAlign w:val="center"/>
          </w:tcPr>
          <w:p>
            <w:pPr>
              <w:spacing w:after="0" w:line="276"/>
            </w:pPr>
            <w:r>
              <w:t>XSD·SHACL·JSON Schema</w:t>
            </w:r>
          </w:p>
        </w:tc>
        <w:tc>
          <w:tcPr>
            <w:tcW w:type="dxa" w:w="3526"/>
            <w:tcMar>
              <w:top w:type="dxa" w:w="60"/>
              <w:left w:type="dxa" w:w="80"/>
              <w:bottom w:type="dxa" w:w="60"/>
              <w:right w:type="dxa" w:w="80"/>
            </w:tcMar>
            <w:vAlign w:val="center"/>
          </w:tcPr>
          <w:p>
            <w:pPr>
              <w:spacing w:after="0" w:line="276"/>
            </w:pPr>
            <w:r>
              <w:t>값 유형·제약·반복을 스키마로 형식화</w:t>
            </w:r>
          </w:p>
        </w:tc>
        <w:tc>
          <w:tcPr>
            <w:tcW w:type="dxa" w:w="1500"/>
            <w:tcMar>
              <w:top w:type="dxa" w:w="60"/>
              <w:left w:type="dxa" w:w="80"/>
              <w:bottom w:type="dxa" w:w="60"/>
              <w:right w:type="dxa" w:w="80"/>
            </w:tcMar>
            <w:vAlign w:val="center"/>
          </w:tcPr>
          <w:p>
            <w:pPr>
              <w:spacing w:after="0" w:line="276"/>
            </w:pPr>
            <w:r>
              <w:t>1 · 부분</w:t>
            </w:r>
          </w:p>
        </w:tc>
      </w:tr>
      <w:tr>
        <w:tc>
          <w:tcPr>
            <w:tcW w:type="dxa" w:w="1700"/>
            <w:tcMar>
              <w:top w:type="dxa" w:w="60"/>
              <w:left w:type="dxa" w:w="80"/>
              <w:bottom w:type="dxa" w:w="60"/>
              <w:right w:type="dxa" w:w="80"/>
            </w:tcMar>
            <w:vAlign w:val="center"/>
          </w:tcPr>
          <w:p>
            <w:pPr>
              <w:spacing w:after="0" w:line="276"/>
            </w:pPr>
            <w:r>
              <w:t xml:space="preserve">신태틱</w:t>
            </w:r>
          </w:p>
        </w:tc>
        <w:tc>
          <w:tcPr>
            <w:tcW w:type="dxa" w:w="2300"/>
            <w:tcMar>
              <w:top w:type="dxa" w:w="60"/>
              <w:left w:type="dxa" w:w="80"/>
              <w:bottom w:type="dxa" w:w="60"/>
              <w:right w:type="dxa" w:w="80"/>
            </w:tcMar>
            <w:vAlign w:val="center"/>
          </w:tcPr>
          <w:p>
            <w:pPr>
              <w:spacing w:after="0" w:line="276"/>
            </w:pPr>
            <w:r>
              <w:t xml:space="preserve">JSON-LD·Croissant</w:t>
            </w:r>
          </w:p>
        </w:tc>
        <w:tc>
          <w:tcPr>
            <w:tcW w:type="dxa" w:w="3526"/>
            <w:tcMar>
              <w:top w:type="dxa" w:w="60"/>
              <w:left w:type="dxa" w:w="80"/>
              <w:bottom w:type="dxa" w:w="60"/>
              <w:right w:type="dxa" w:w="80"/>
            </w:tcMar>
            <w:vAlign w:val="center"/>
          </w:tcPr>
          <w:p>
            <w:pPr>
              <w:spacing w:after="0" w:line="276"/>
            </w:pPr>
            <w:r>
              <w:t xml:space="preserve">메타데이터 직렬화 규범 제공</w:t>
            </w:r>
          </w:p>
        </w:tc>
        <w:tc>
          <w:tcPr>
            <w:tcW w:type="dxa" w:w="1500"/>
            <w:tcMar>
              <w:top w:type="dxa" w:w="60"/>
              <w:left w:type="dxa" w:w="80"/>
              <w:bottom w:type="dxa" w:w="60"/>
              <w:right w:type="dxa" w:w="80"/>
            </w:tcMar>
            <w:vAlign w:val="center"/>
          </w:tcPr>
          <w:p>
            <w:pPr>
              <w:spacing w:after="0" w:line="276"/>
            </w:pPr>
            <w:r>
              <w:t xml:space="preserve">0 · 미충족</w:t>
            </w:r>
          </w:p>
        </w:tc>
      </w:tr>
      <w:tr>
        <w:tc>
          <w:tcPr>
            <w:tcW w:type="dxa" w:w="1700"/>
            <w:tcMar>
              <w:top w:type="dxa" w:w="60"/>
              <w:left w:type="dxa" w:w="80"/>
              <w:bottom w:type="dxa" w:w="60"/>
              <w:right w:type="dxa" w:w="80"/>
            </w:tcMar>
            <w:vAlign w:val="center"/>
          </w:tcPr>
          <w:p>
            <w:pPr>
              <w:spacing w:after="0" w:line="276"/>
            </w:pPr>
            <w:r>
              <w:t xml:space="preserve">운영 시맨틱</w:t>
            </w:r>
          </w:p>
        </w:tc>
        <w:tc>
          <w:tcPr>
            <w:tcW w:type="dxa" w:w="2300"/>
            <w:tcMar>
              <w:top w:type="dxa" w:w="60"/>
              <w:left w:type="dxa" w:w="80"/>
              <w:bottom w:type="dxa" w:w="60"/>
              <w:right w:type="dxa" w:w="80"/>
            </w:tcMar>
            <w:vAlign w:val="center"/>
          </w:tcPr>
          <w:p>
            <w:pPr>
              <w:spacing w:after="0" w:line="276"/>
            </w:pPr>
            <w:r>
              <w:t>Croissant 1.0</w:t>
            </w:r>
          </w:p>
        </w:tc>
        <w:tc>
          <w:tcPr>
            <w:tcW w:type="dxa" w:w="3526"/>
            <w:tcMar>
              <w:top w:type="dxa" w:w="60"/>
              <w:left w:type="dxa" w:w="80"/>
              <w:bottom w:type="dxa" w:w="60"/>
              <w:right w:type="dxa" w:w="80"/>
            </w:tcMar>
            <w:vAlign w:val="center"/>
          </w:tcPr>
          <w:p>
            <w:pPr>
              <w:spacing w:after="0" w:line="276"/>
            </w:pPr>
            <w:r>
              <w:t>split·feature/label 형식 선언</w:t>
            </w:r>
          </w:p>
        </w:tc>
        <w:tc>
          <w:tcPr>
            <w:tcW w:type="dxa" w:w="1500"/>
            <w:tcMar>
              <w:top w:type="dxa" w:w="60"/>
              <w:left w:type="dxa" w:w="80"/>
              <w:bottom w:type="dxa" w:w="60"/>
              <w:right w:type="dxa" w:w="80"/>
            </w:tcMar>
            <w:vAlign w:val="center"/>
          </w:tcPr>
          <w:p>
            <w:pPr>
              <w:spacing w:after="0" w:line="276"/>
            </w:pPr>
            <w:r>
              <w:t>1 · 부분</w:t>
            </w:r>
          </w:p>
        </w:tc>
      </w:tr>
      <w:tr>
        <w:tc>
          <w:tcPr>
            <w:tcW w:type="dxa" w:w="1700"/>
            <w:tcMar>
              <w:top w:type="dxa" w:w="60"/>
              <w:left w:type="dxa" w:w="80"/>
              <w:bottom w:type="dxa" w:w="60"/>
              <w:right w:type="dxa" w:w="80"/>
            </w:tcMar>
            <w:vAlign w:val="center"/>
          </w:tcPr>
          <w:p>
            <w:pPr>
              <w:spacing w:after="0" w:line="276"/>
            </w:pPr>
            <w:r>
              <w:t xml:space="preserve">출처/계보</w:t>
            </w:r>
          </w:p>
        </w:tc>
        <w:tc>
          <w:tcPr>
            <w:tcW w:type="dxa" w:w="2300"/>
            <w:tcMar>
              <w:top w:type="dxa" w:w="60"/>
              <w:left w:type="dxa" w:w="80"/>
              <w:bottom w:type="dxa" w:w="60"/>
              <w:right w:type="dxa" w:w="80"/>
            </w:tcMar>
            <w:vAlign w:val="center"/>
          </w:tcPr>
          <w:p>
            <w:pPr>
              <w:spacing w:after="0" w:line="276"/>
            </w:pPr>
            <w:r>
              <w:t xml:space="preserve">PROV-O</w:t>
            </w:r>
          </w:p>
        </w:tc>
        <w:tc>
          <w:tcPr>
            <w:tcW w:type="dxa" w:w="3526"/>
            <w:tcMar>
              <w:top w:type="dxa" w:w="60"/>
              <w:left w:type="dxa" w:w="80"/>
              <w:bottom w:type="dxa" w:w="60"/>
              <w:right w:type="dxa" w:w="80"/>
            </w:tcMar>
            <w:vAlign w:val="center"/>
          </w:tcPr>
          <w:p>
            <w:pPr>
              <w:spacing w:after="0" w:line="276"/>
            </w:pPr>
            <w:r>
              <w:t xml:space="preserve">구축 절차·출처·이력을 PROV 그래프로</w:t>
            </w:r>
          </w:p>
        </w:tc>
        <w:tc>
          <w:tcPr>
            <w:tcW w:type="dxa" w:w="1500"/>
            <w:tcMar>
              <w:top w:type="dxa" w:w="60"/>
              <w:left w:type="dxa" w:w="80"/>
              <w:bottom w:type="dxa" w:w="60"/>
              <w:right w:type="dxa" w:w="80"/>
            </w:tcMar>
            <w:vAlign w:val="center"/>
          </w:tcPr>
          <w:p>
            <w:pPr>
              <w:spacing w:after="0" w:line="276"/>
            </w:pPr>
            <w:r>
              <w:t xml:space="preserve">1 · 부분</w:t>
            </w:r>
          </w:p>
        </w:tc>
      </w:tr>
      <w:tr>
        <w:tc>
          <w:tcPr>
            <w:tcW w:type="dxa" w:w="1700"/>
            <w:tcMar>
              <w:top w:type="dxa" w:w="60"/>
              <w:left w:type="dxa" w:w="80"/>
              <w:bottom w:type="dxa" w:w="60"/>
              <w:right w:type="dxa" w:w="80"/>
            </w:tcMar>
            <w:vAlign w:val="center"/>
          </w:tcPr>
          <w:p>
            <w:pPr>
              <w:spacing w:after="0" w:line="276"/>
            </w:pPr>
            <w:r>
              <w:t xml:space="preserve">품질 프로파일</w:t>
            </w:r>
          </w:p>
        </w:tc>
        <w:tc>
          <w:tcPr>
            <w:tcW w:type="dxa" w:w="2300"/>
            <w:tcMar>
              <w:top w:type="dxa" w:w="60"/>
              <w:left w:type="dxa" w:w="80"/>
              <w:bottom w:type="dxa" w:w="60"/>
              <w:right w:type="dxa" w:w="80"/>
            </w:tcMar>
            <w:vAlign w:val="center"/>
          </w:tcPr>
          <w:p>
            <w:pPr>
              <w:spacing w:after="0" w:line="276"/>
            </w:pPr>
            <w:r>
              <w:t xml:space="preserve">DQV·SHACL</w:t>
            </w:r>
          </w:p>
        </w:tc>
        <w:tc>
          <w:tcPr>
            <w:tcW w:type="dxa" w:w="3526"/>
            <w:tcMar>
              <w:top w:type="dxa" w:w="60"/>
              <w:left w:type="dxa" w:w="80"/>
              <w:bottom w:type="dxa" w:w="60"/>
              <w:right w:type="dxa" w:w="80"/>
            </w:tcMar>
            <w:vAlign w:val="center"/>
          </w:tcPr>
          <w:p>
            <w:pPr>
              <w:spacing w:after="0" w:line="276"/>
            </w:pPr>
            <w:r>
              <w:t xml:space="preserve">정제/가공 기준·평가지표를 품질 어휘로</w:t>
            </w:r>
          </w:p>
        </w:tc>
        <w:tc>
          <w:tcPr>
            <w:tcW w:type="dxa" w:w="1500"/>
            <w:tcMar>
              <w:top w:type="dxa" w:w="60"/>
              <w:left w:type="dxa" w:w="80"/>
              <w:bottom w:type="dxa" w:w="60"/>
              <w:right w:type="dxa" w:w="80"/>
            </w:tcMar>
            <w:vAlign w:val="center"/>
          </w:tcPr>
          <w:p>
            <w:pPr>
              <w:spacing w:after="0" w:line="276"/>
            </w:pPr>
            <w:r>
              <w:t xml:space="preserve">1 · 부분</w:t>
            </w:r>
          </w:p>
        </w:tc>
      </w:tr>
      <w:tr>
        <w:tc>
          <w:tcPr>
            <w:tcW w:type="dxa" w:w="1700"/>
            <w:tcMar>
              <w:top w:type="dxa" w:w="60"/>
              <w:left w:type="dxa" w:w="80"/>
              <w:bottom w:type="dxa" w:w="60"/>
              <w:right w:type="dxa" w:w="80"/>
            </w:tcMar>
            <w:vAlign w:val="center"/>
          </w:tcPr>
          <w:p>
            <w:pPr>
              <w:spacing w:after="0" w:line="276"/>
            </w:pPr>
            <w:r>
              <w:t xml:space="preserve">접근/사용 제약</w:t>
            </w:r>
          </w:p>
        </w:tc>
        <w:tc>
          <w:tcPr>
            <w:tcW w:type="dxa" w:w="2300"/>
            <w:tcMar>
              <w:top w:type="dxa" w:w="60"/>
              <w:left w:type="dxa" w:w="80"/>
              <w:bottom w:type="dxa" w:w="60"/>
              <w:right w:type="dxa" w:w="80"/>
            </w:tcMar>
            <w:vAlign w:val="center"/>
          </w:tcPr>
          <w:p>
            <w:pPr>
              <w:spacing w:after="0" w:line="276"/>
            </w:pPr>
            <w:r>
              <w:t xml:space="preserve">DCAT·ODRL</w:t>
            </w:r>
          </w:p>
        </w:tc>
        <w:tc>
          <w:tcPr>
            <w:tcW w:type="dxa" w:w="3526"/>
            <w:tcMar>
              <w:top w:type="dxa" w:w="60"/>
              <w:left w:type="dxa" w:w="80"/>
              <w:bottom w:type="dxa" w:w="60"/>
              <w:right w:type="dxa" w:w="80"/>
            </w:tcMar>
            <w:vAlign w:val="center"/>
          </w:tcPr>
          <w:p>
            <w:pPr>
              <w:spacing w:after="0" w:line="276"/>
            </w:pPr>
            <w:r>
              <w:t xml:space="preserve">사용 시 고려사항·권리를 데이터 수준 정책으로</w:t>
            </w:r>
          </w:p>
        </w:tc>
        <w:tc>
          <w:tcPr>
            <w:tcW w:type="dxa" w:w="1500"/>
            <w:tcMar>
              <w:top w:type="dxa" w:w="60"/>
              <w:left w:type="dxa" w:w="80"/>
              <w:bottom w:type="dxa" w:w="60"/>
              <w:right w:type="dxa" w:w="80"/>
            </w:tcMar>
            <w:vAlign w:val="center"/>
          </w:tcPr>
          <w:p>
            <w:pPr>
              <w:spacing w:after="0" w:line="276"/>
            </w:pPr>
            <w:r>
              <w:t xml:space="preserve">1 · 부분</w:t>
            </w:r>
          </w:p>
        </w:tc>
      </w:tr>
    </w:tbl>
    <w:p>
      <w:pPr>
        <w:pStyle w:val="Heading1"/>
      </w:pPr>
      <w:r>
        <w:t xml:space="preserve">6. 맺음말</w:t>
      </w:r>
    </w:p>
    <w:p>
      <w:pPr>
        <w:spacing w:after="140" w:line="300"/>
      </w:pPr>
      <w:r>
        <w:t xml:space="preserve">1595는 본 과제에서 ‘내용 성숙·형식 미성숙’의 대표 사례다. 무엇을 기록할지에 대한 모델(content model)은 구축 공정 5단계를 따라 가장 충실하게 갖췄으나, 그것을 기계가 읽을 어휘·직렬화로 옮기는 작업이 통째로 남아 있다. 역설적으로 이 점이 강점이다 — 요소가 이미 잘 분해돼 있어, 어휘 매핑표와 @context, 그리고 공정의 PROV-O 형식화만으로 짧은 경로의 전환이 가능하다. 특히 출처/계보는 1595가 가진 가장 풍부한 자산이므로, 본 과제의 PROV-O 전환 시연 대상으로 우선 고려할 가치가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Malgun Gothic" w:cs="Malgun Gothic" w:eastAsia="Malgun Gothic" w:hAnsi="Malgun Gothic"/>
      <w:b/>
      <w:bCs/>
      <w:color w:val="1F3864"/>
      <w:sz w:val="26"/>
      <w:szCs w:val="26"/>
    </w:rPr>
  </w:style>
  <w:style w:type="paragraph" w:styleId="Heading2">
    <w:name w:val="Heading 2"/>
    <w:basedOn w:val="Normal"/>
    <w:next w:val="Normal"/>
    <w:qFormat/>
    <w:pPr>
      <w:spacing w:after="110" w:before="220"/>
      <w:outlineLvl w:val="1"/>
    </w:pPr>
    <w:rPr>
      <w:rFonts w:ascii="Malgun Gothic" w:cs="Malgun Gothic" w:eastAsia="Malgun Gothic" w:hAnsi="Malgun Gothic"/>
      <w:b/>
      <w:bCs/>
      <w:color w:val="2E5496"/>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2026-06-22T06:18:39.219Z</dcterms:created>
  <dcterms:modified xsi:type="dcterms:W3CDTF">2026-06-22T06:18:39.219Z</dcterms:modified>
</cp:coreProperties>
</file>

<file path=docProps/custom.xml><?xml version="1.0" encoding="utf-8"?>
<Properties xmlns="http://schemas.openxmlformats.org/officeDocument/2006/custom-properties" xmlns:vt="http://schemas.openxmlformats.org/officeDocument/2006/docPropsVTypes"/>
</file>