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표준 검토 의견서</w:t>
      </w:r>
    </w:p>
    <w:p>
      <w:pPr>
        <w:spacing w:after="40"/>
        <w:jc w:val="center"/>
      </w:pPr>
      <w:r>
        <w:rPr>
          <w:b/>
          <w:bCs/>
          <w:sz w:val="23"/>
          <w:szCs w:val="23"/>
        </w:rPr>
        <w:t xml:space="preserve">인공지능 학습용 데이터 구축 공정 기반의 메타데이터</w:t>
      </w:r>
    </w:p>
    <w:p>
      <w:pPr>
        <w:spacing w:after="240"/>
        <w:jc w:val="center"/>
      </w:pPr>
      <w:r>
        <w:rPr>
          <w:color w:val="666666"/>
          <w:sz w:val="20"/>
          <w:szCs w:val="20"/>
        </w:rPr>
        <w:t xml:space="preserve">TTAK.KO-10.1595 (제정일 2025.12.05.) · PG606</w:t>
      </w:r>
    </w:p>
    <w:p>
      <w:pPr>
        <w:pStyle w:val="Heading1"/>
      </w:pPr>
      <w:r>
        <w:t xml:space="preserve">1. 검토 개요와 방법</w:t>
      </w:r>
    </w:p>
    <w:p>
      <w:pPr>
        <w:spacing w:after="140" w:line="300"/>
      </w:pPr>
      <w:r>
        <w:t xml:space="preserve">본 의견서는 표준 TTAK.KO-10.1595의 서문, 본문(적용 범위·인용 표준·용어 정의·약어·5장 메타데이터 항목·6장 항목별 구성 요소) 및 부록(사용 예시)을 검토한 결과다. 이 표준은 인공지능 학습용 데이터 구축 공정 5단계(구축계획 수립·획득/수집·정제·가공·학습)와 품질관리 프레임워크를 축으로, 데이터 개요·유형별 메타데이터·통계·저장구조·구축 절차·모델 유효성 검증·활용·사용 시 고려사항·기타의 9개 항목과 그 세부 구성 요소를 정의한다. 요소는 ID·요소명(한/영)·설명·필수여부(M/O/R)의 속성을 갖는 표 형식으로 기술된다.</w:t>
      </w:r>
    </w:p>
    <w:p>
      <w:pPr>
        <w:spacing w:after="140" w:line="300"/>
      </w:pPr>
      <w:r>
        <w:t xml:space="preserve">자매 표준인 1594가 같은 도메인(AI 학습데이터)을 RDF 온톨로지로 형식화한 것과 달리, 이 표준은 ‘무엇을 기록할 것인가’를 한글·영문 명칭과 산문 설명의 표로 정의하는 항목 목록형 표준이다. 따라서 타입·코드 정의 오류 같은 형식 결함은 성립하지 않으며, 발견된 결함은 ‘인용 표준 분류’와 ‘편집 일관성’에 한정된 경미한 수준이다. 결함의 분류는 분석 카드의 표기와 일치시킨다. 발견 Y = 해당 유형 결함이 있음, N = 검사 대상은 있으나 결함이 없음(통과), N/A = 해당 유형 자체가 이 표준에 없음(비해당). 아래 요약 표에는 Y 항목만 싣고, 통과·비해당 항목은 3장에 따로 정리한다.</w:t>
      </w:r>
    </w:p>
    <w:p>
      <w:pPr>
        <w:pStyle w:val="Heading1"/>
      </w:pPr>
      <w:r>
        <w:t xml:space="preserve">2. 발견 사항 — 요약과 상세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Look w:firstRow="1"/>
      </w:tblPr>
      <w:tblGrid>
        <w:gridCol w:w="560"/>
        <w:gridCol w:w="1620"/>
        <w:gridCol w:w="3206"/>
        <w:gridCol w:w="2780"/>
        <w:gridCol w:w="860"/>
      </w:tblGrid>
      <w:tr>
        <w:trPr>
          <w:tblHeader/>
        </w:trPr>
        <w:tc>
          <w:tcPr>
            <w:tcW w:type="dxa" w:w="560"/>
            <w:shd w:fill="2E5496" w:val="clear"/>
            <w:tcMar>
              <w:top w:type="dxa" w:w="60"/>
              <w:left w:type="dxa" w:w="80"/>
              <w:bottom w:type="dxa" w:w="60"/>
              <w:right w:type="dxa" w:w="80"/>
            </w:tcMar>
            <w:vAlign w:val="center"/>
          </w:tcPr>
          <w:p>
            <w:pPr>
              <w:spacing w:after="0" w:line="276"/>
              <w:jc w:val="center"/>
            </w:pPr>
            <w:r>
              <w:rPr>
                <w:b/>
                <w:bCs/>
                <w:color w:val="FFFFFF"/>
              </w:rPr>
              <w:t xml:space="preserve">번호</w:t>
            </w:r>
          </w:p>
        </w:tc>
        <w:tc>
          <w:tcPr>
            <w:tcW w:type="dxa" w:w="1620"/>
            <w:shd w:fill="2E5496" w:val="clear"/>
            <w:tcMar>
              <w:top w:type="dxa" w:w="60"/>
              <w:left w:type="dxa" w:w="80"/>
              <w:bottom w:type="dxa" w:w="60"/>
              <w:right w:type="dxa" w:w="80"/>
            </w:tcMar>
            <w:vAlign w:val="center"/>
          </w:tcPr>
          <w:p>
            <w:pPr>
              <w:spacing w:after="0" w:line="276"/>
              <w:jc w:val="center"/>
            </w:pPr>
            <w:r>
              <w:rPr>
                <w:b/>
                <w:bCs/>
                <w:color w:val="FFFFFF"/>
              </w:rPr>
              <w:t xml:space="preserve">위치</w:t>
            </w:r>
          </w:p>
        </w:tc>
        <w:tc>
          <w:tcPr>
            <w:tcW w:type="dxa" w:w="3206"/>
            <w:shd w:fill="2E5496" w:val="clear"/>
            <w:tcMar>
              <w:top w:type="dxa" w:w="60"/>
              <w:left w:type="dxa" w:w="80"/>
              <w:bottom w:type="dxa" w:w="60"/>
              <w:right w:type="dxa" w:w="80"/>
            </w:tcMar>
            <w:vAlign w:val="center"/>
          </w:tcPr>
          <w:p>
            <w:pPr>
              <w:spacing w:after="0" w:line="276"/>
              <w:jc w:val="center"/>
            </w:pPr>
            <w:r>
              <w:rPr>
                <w:b/>
                <w:bCs/>
                <w:color w:val="FFFFFF"/>
              </w:rPr>
              <w:t xml:space="preserve">문제점</w:t>
            </w:r>
          </w:p>
        </w:tc>
        <w:tc>
          <w:tcPr>
            <w:tcW w:type="dxa" w:w="2780"/>
            <w:shd w:fill="2E5496" w:val="clear"/>
            <w:tcMar>
              <w:top w:type="dxa" w:w="60"/>
              <w:left w:type="dxa" w:w="80"/>
              <w:bottom w:type="dxa" w:w="60"/>
              <w:right w:type="dxa" w:w="80"/>
            </w:tcMar>
            <w:vAlign w:val="center"/>
          </w:tcPr>
          <w:p>
            <w:pPr>
              <w:spacing w:after="0" w:line="276"/>
              <w:jc w:val="center"/>
            </w:pPr>
            <w:r>
              <w:rPr>
                <w:b/>
                <w:bCs/>
                <w:color w:val="FFFFFF"/>
              </w:rPr>
              <w:t xml:space="preserve">수정 권고</w:t>
            </w:r>
          </w:p>
        </w:tc>
        <w:tc>
          <w:tcPr>
            <w:tcW w:type="dxa" w:w="860"/>
            <w:shd w:fill="2E5496" w:val="clear"/>
            <w:tcMar>
              <w:top w:type="dxa" w:w="60"/>
              <w:left w:type="dxa" w:w="80"/>
              <w:bottom w:type="dxa" w:w="60"/>
              <w:right w:type="dxa" w:w="80"/>
            </w:tcMar>
            <w:vAlign w:val="center"/>
          </w:tcPr>
          <w:p>
            <w:pPr>
              <w:spacing w:after="0" w:line="276"/>
              <w:jc w:val="center"/>
            </w:pPr>
            <w:r>
              <w:rPr>
                <w:b/>
                <w:bCs/>
                <w:color w:val="FFFFFF"/>
              </w:rPr>
              <w:t xml:space="preserve">심각도</w:t>
            </w:r>
          </w:p>
        </w:tc>
      </w:tr>
      <w:tr>
        <w:tc>
          <w:tcPr>
            <w:tcW w:type="dxa" w:w="560"/>
            <w:tcMar>
              <w:top w:type="dxa" w:w="60"/>
              <w:left w:type="dxa" w:w="80"/>
              <w:bottom w:type="dxa" w:w="60"/>
              <w:right w:type="dxa" w:w="80"/>
            </w:tcMar>
            <w:vAlign w:val="center"/>
          </w:tcPr>
          <w:p>
            <w:pPr>
              <w:spacing w:after="0" w:line="276"/>
              <w:jc w:val="center"/>
            </w:pPr>
            <w:r>
              <w:t xml:space="preserve">1</w:t>
            </w:r>
          </w:p>
        </w:tc>
        <w:tc>
          <w:tcPr>
            <w:tcW w:type="dxa" w:w="1620"/>
            <w:tcMar>
              <w:top w:type="dxa" w:w="60"/>
              <w:left w:type="dxa" w:w="80"/>
              <w:bottom w:type="dxa" w:w="60"/>
              <w:right w:type="dxa" w:w="80"/>
            </w:tcMar>
            <w:vAlign w:val="center"/>
          </w:tcPr>
          <w:p>
            <w:pPr>
              <w:spacing w:after="0" w:line="276"/>
            </w:pPr>
            <w:r>
              <w:t xml:space="preserve">서문 3절 / 본문 2절</w:t>
              <w:br/>
              <w:t xml:space="preserve">(인용 표준)</w:t>
            </w:r>
          </w:p>
        </w:tc>
        <w:tc>
          <w:tcPr>
            <w:tcW w:type="dxa" w:w="3206"/>
            <w:tcMar>
              <w:top w:type="dxa" w:w="60"/>
              <w:left w:type="dxa" w:w="80"/>
              <w:bottom w:type="dxa" w:w="60"/>
              <w:right w:type="dxa" w:w="80"/>
            </w:tcMar>
            <w:vAlign w:val="center"/>
          </w:tcPr>
          <w:p>
            <w:pPr>
              <w:spacing w:after="0" w:line="276"/>
            </w:pPr>
            <w:r>
              <w:t xml:space="preserve">‘인용 표준과의 비교: 해당 사항 없음’이나, 표준 전체가 한국지능정보사회진흥원 「인공지능 학습용 데이터 품질관리 가이드라인」의 구축 공정 5단계·품질관리 프레임워크를 ‘기반으로’ 한다고 명시(1장·서문 2절)하고, 용어 정의 3.5 ‘모델 유효성 검증’은 TTAK.KO-10.1339의 정의를 가져온다 — 모두 참고문헌·괄호 출처에만 둠.</w:t>
            </w:r>
          </w:p>
        </w:tc>
        <w:tc>
          <w:tcPr>
            <w:tcW w:type="dxa" w:w="2780"/>
            <w:tcMar>
              <w:top w:type="dxa" w:w="60"/>
              <w:left w:type="dxa" w:w="80"/>
              <w:bottom w:type="dxa" w:w="60"/>
              <w:right w:type="dxa" w:w="80"/>
            </w:tcMar>
            <w:vAlign w:val="center"/>
          </w:tcPr>
          <w:p>
            <w:pPr>
              <w:spacing w:after="0" w:line="276"/>
            </w:pPr>
            <w:r>
              <w:t xml:space="preserve">구축 공정·품질 프레임워크의 출처인 NIA 가이드라인(참고문헌 [1][2])과 용어를 준용한 TTAK.KO-10.1339의 분류 정합성을 재검토하고, 규범적 의존이면 인용 표준으로 승격.</w:t>
            </w:r>
          </w:p>
        </w:tc>
        <w:tc>
          <w:tcPr>
            <w:tcW w:type="dxa" w:w="860"/>
            <w:shd w:fill="FFF2CC" w:val="clear"/>
            <w:tcMar>
              <w:top w:type="dxa" w:w="60"/>
              <w:left w:type="dxa" w:w="80"/>
              <w:bottom w:type="dxa" w:w="60"/>
              <w:right w:type="dxa" w:w="80"/>
            </w:tcMar>
            <w:vAlign w:val="center"/>
          </w:tcPr>
          <w:p>
            <w:pPr>
              <w:spacing w:after="0" w:line="276"/>
              <w:jc w:val="center"/>
            </w:pPr>
            <w:r>
              <w:t xml:space="preserve">낮음</w:t>
            </w:r>
          </w:p>
        </w:tc>
      </w:tr>
      <w:tr>
        <w:tc>
          <w:tcPr>
            <w:tcW w:type="dxa" w:w="560"/>
            <w:tcMar>
              <w:top w:type="dxa" w:w="60"/>
              <w:left w:type="dxa" w:w="80"/>
              <w:bottom w:type="dxa" w:w="60"/>
              <w:right w:type="dxa" w:w="80"/>
            </w:tcMar>
            <w:vAlign w:val="center"/>
          </w:tcPr>
          <w:p>
            <w:pPr>
              <w:spacing w:after="0" w:line="276"/>
              <w:jc w:val="center"/>
            </w:pPr>
            <w:r>
              <w:t xml:space="preserve">2</w:t>
            </w:r>
          </w:p>
        </w:tc>
        <w:tc>
          <w:tcPr>
            <w:tcW w:type="dxa" w:w="1620"/>
            <w:tcMar>
              <w:top w:type="dxa" w:w="60"/>
              <w:left w:type="dxa" w:w="80"/>
              <w:bottom w:type="dxa" w:w="60"/>
              <w:right w:type="dxa" w:w="80"/>
            </w:tcMar>
            <w:vAlign w:val="center"/>
          </w:tcPr>
          <w:p>
            <w:pPr>
              <w:spacing w:after="0" w:line="276"/>
            </w:pPr>
            <w:r>
              <w:t xml:space="preserve">표 6-1 외</w:t>
              <w:br/>
              <w:t xml:space="preserve">(영문 요소명)</w:t>
            </w:r>
          </w:p>
        </w:tc>
        <w:tc>
          <w:tcPr>
            <w:tcW w:type="dxa" w:w="3206"/>
            <w:tcMar>
              <w:top w:type="dxa" w:w="60"/>
              <w:left w:type="dxa" w:w="80"/>
              <w:bottom w:type="dxa" w:w="60"/>
              <w:right w:type="dxa" w:w="80"/>
            </w:tcMar>
            <w:vAlign w:val="center"/>
          </w:tcPr>
          <w:p>
            <w:pPr>
              <w:spacing w:after="0" w:line="276"/>
            </w:pPr>
            <w:r>
              <w:t xml:space="preserve">서로 다른 두 요소에 같은 영문명 부여 — 1-2 ‘데이터 구분’과 2-2 ‘데이터 유형’이 모두 Data Type. 또 표 5-1의 항목 8 ‘데이터 사용 시 고려사항’ 영문명이 Dataset Construction Considerations(‘구축’으로 오역)이며, 하위요소 8-1 ‘데이터 구축 유의사항’은 Data Construction Considerations로 표기.</w:t>
            </w:r>
          </w:p>
        </w:tc>
        <w:tc>
          <w:tcPr>
            <w:tcW w:type="dxa" w:w="2780"/>
            <w:tcMar>
              <w:top w:type="dxa" w:w="60"/>
              <w:left w:type="dxa" w:w="80"/>
              <w:bottom w:type="dxa" w:w="60"/>
              <w:right w:type="dxa" w:w="80"/>
            </w:tcMar>
            <w:vAlign w:val="center"/>
          </w:tcPr>
          <w:p>
            <w:pPr>
              <w:spacing w:after="0" w:line="276"/>
            </w:pPr>
            <w:r>
              <w:t xml:space="preserve">요소 식별의 고유성을 위해 1-2/2-2의 영문명을 구분(예: 데이터 구분→Data Category)하고, 항목 8 영문명을 ‘사용 시’ 의미에 맞게 정정.</w:t>
            </w:r>
          </w:p>
        </w:tc>
        <w:tc>
          <w:tcPr>
            <w:tcW w:type="dxa" w:w="860"/>
            <w:shd w:fill="FFF2CC" w:val="clear"/>
            <w:tcMar>
              <w:top w:type="dxa" w:w="60"/>
              <w:left w:type="dxa" w:w="80"/>
              <w:bottom w:type="dxa" w:w="60"/>
              <w:right w:type="dxa" w:w="80"/>
            </w:tcMar>
            <w:vAlign w:val="center"/>
          </w:tcPr>
          <w:p>
            <w:pPr>
              <w:spacing w:after="0" w:line="276"/>
              <w:jc w:val="center"/>
            </w:pPr>
            <w:r>
              <w:t xml:space="preserve">낮음</w:t>
            </w:r>
          </w:p>
        </w:tc>
      </w:tr>
      <w:tr>
        <w:tc>
          <w:tcPr>
            <w:tcW w:type="dxa" w:w="560"/>
            <w:tcMar>
              <w:top w:type="dxa" w:w="60"/>
              <w:left w:type="dxa" w:w="80"/>
              <w:bottom w:type="dxa" w:w="60"/>
              <w:right w:type="dxa" w:w="80"/>
            </w:tcMar>
            <w:vAlign w:val="center"/>
          </w:tcPr>
          <w:p>
            <w:pPr>
              <w:spacing w:after="0" w:line="276"/>
              <w:jc w:val="center"/>
            </w:pPr>
            <w:r>
              <w:t xml:space="preserve">3</w:t>
            </w:r>
          </w:p>
        </w:tc>
        <w:tc>
          <w:tcPr>
            <w:tcW w:type="dxa" w:w="1620"/>
            <w:tcMar>
              <w:top w:type="dxa" w:w="60"/>
              <w:left w:type="dxa" w:w="80"/>
              <w:bottom w:type="dxa" w:w="60"/>
              <w:right w:type="dxa" w:w="80"/>
            </w:tcMar>
            <w:vAlign w:val="center"/>
          </w:tcPr>
          <w:p>
            <w:pPr>
              <w:spacing w:after="0" w:line="276"/>
            </w:pPr>
            <w:r>
              <w:t xml:space="preserve">4장 약어 /</w:t>
              <w:br/>
              <w:t xml:space="preserve">본문 전반</w:t>
            </w:r>
          </w:p>
        </w:tc>
        <w:tc>
          <w:tcPr>
            <w:tcW w:type="dxa" w:w="3206"/>
            <w:tcMar>
              <w:top w:type="dxa" w:w="60"/>
              <w:left w:type="dxa" w:w="80"/>
              <w:bottom w:type="dxa" w:w="60"/>
              <w:right w:type="dxa" w:w="80"/>
            </w:tcMar>
            <w:vAlign w:val="center"/>
          </w:tcPr>
          <w:p>
            <w:pPr>
              <w:spacing w:after="0" w:line="276"/>
            </w:pPr>
            <w:r>
              <w:t xml:space="preserve">4장 약어가 ‘해당 사항 없음’이나, 본문·부록에서 LLM·LMM·CoT·B-Box·NAS·GPU·CUDA·OS·SGD·ROUGE-L·NIA 등 다수 약어를 사용. 약어 정리절과 본문 사용이 불일치.</w:t>
            </w:r>
          </w:p>
        </w:tc>
        <w:tc>
          <w:tcPr>
            <w:tcW w:type="dxa" w:w="2780"/>
            <w:tcMar>
              <w:top w:type="dxa" w:w="60"/>
              <w:left w:type="dxa" w:w="80"/>
              <w:bottom w:type="dxa" w:w="60"/>
              <w:right w:type="dxa" w:w="80"/>
            </w:tcMar>
            <w:vAlign w:val="center"/>
          </w:tcPr>
          <w:p>
            <w:pPr>
              <w:spacing w:after="0" w:line="276"/>
            </w:pPr>
            <w:r>
              <w:t xml:space="preserve">본문·예시에서 쓰는 약어를 4장 약어절에 보완 정리(‘해당 없음’ 삭제).</w:t>
            </w:r>
          </w:p>
        </w:tc>
        <w:tc>
          <w:tcPr>
            <w:tcW w:type="dxa" w:w="860"/>
            <w:shd w:fill="FFF2CC" w:val="clear"/>
            <w:tcMar>
              <w:top w:type="dxa" w:w="60"/>
              <w:left w:type="dxa" w:w="80"/>
              <w:bottom w:type="dxa" w:w="60"/>
              <w:right w:type="dxa" w:w="80"/>
            </w:tcMar>
            <w:vAlign w:val="center"/>
          </w:tcPr>
          <w:p>
            <w:pPr>
              <w:spacing w:after="0" w:line="276"/>
              <w:jc w:val="center"/>
            </w:pPr>
            <w:r>
              <w:t xml:space="preserve">낮음</w:t>
            </w:r>
          </w:p>
        </w:tc>
      </w:tr>
    </w:tbl>
    <w:p>
      <w:pPr>
        <w:pStyle w:val="Heading2"/>
      </w:pPr>
      <w:r>
        <w:t xml:space="preserve">2.1 인용 표준 분류 (심각도 낮음)</w:t>
      </w:r>
    </w:p>
    <w:p>
      <w:pPr>
        <w:spacing w:after="140" w:line="300"/>
      </w:pPr>
      <w:r>
        <w:t xml:space="preserve">서문 3절(‘인용 표준과의 비교: 해당 사항 없음’)과 본문 2절(‘인용 표준: 해당 사항 없음’)은 외부 표준 의존이 없다고 적는다. 그러나 1장 적용 범위와 서문 2절은 이 표준이 “한국지능정보사회진흥원에서 … 체계화하고 … 고도화한 인공지능 학습용 데이터 구축 공정 단계와 품질관리 프레임워크를 </w:t>
      </w:r>
      <w:r>
        <w:rPr>
          <w:b/>
          <w:bCs/>
        </w:rPr>
        <w:t xml:space="preserve">기반으로</w:t>
      </w:r>
      <w:r>
        <w:t xml:space="preserve">” 메타데이터 항목을 정의한다고 명시한다. 그 기반 문서인 NIA 「인공지능 학습용 데이터 품질관리 가이드라인 v3.1/AI 데이터 품질관리 가이드라인 v3.5」는 참고문헌 [1][2]에만 등재돼 있다. 또한 용어 정의 3.5 ‘모델 유효성 검증’은 “[출처: TTAK.KO-10.1339, 유효성]”으로 다른 표준의 정의를 준용한다.</w:t>
      </w:r>
    </w:p>
    <w:p>
      <w:pPr>
        <w:spacing w:after="140" w:line="300"/>
      </w:pPr>
      <w:r>
        <w:t xml:space="preserve">이 표준의 외부 의존은 1594(외부 어휘를 규범적으로 차용)보다 약하다 — 프레임워크를 ‘기반’으로 삼되 그 적용을 강제하지는 않기 때문이다. 다만 용어 정의를 다른 표준에서 가져온 것은 규범적 준용에 가까우므로, 최소한 TTAK.KO-10.1339의 인용 표준 등재 여부와, NIA 가이드라인 의존의 규범성 정도를 편집 단계에서 명시적으로 판정하는 것이 분류 정합성에 부합한다. ‘해당 없음’ 일괄 표기는 근거를 남기지 않는다는 점이 약점이다.</w:t>
      </w:r>
    </w:p>
    <w:p>
      <w:pPr>
        <w:pStyle w:val="Heading2"/>
      </w:pPr>
      <w:r>
        <w:t xml:space="preserve">2.2 영문 요소명 중복·불일치 (심각도 낮음)</w:t>
      </w:r>
    </w:p>
    <w:p>
      <w:pPr>
        <w:spacing w:after="140" w:line="300"/>
      </w:pPr>
      <w:r>
        <w:t xml:space="preserve">메타데이터 요소의 영문명은 기계 식별자 역할을 겸하므로 고유해야 한다. 그러나 표 6-1의 1-2 ‘데이터 구분’과 표 6-2의 2-2 ‘데이터 유형’이 </w:t>
      </w:r>
      <w:r>
        <w:rPr>
          <w:b/>
          <w:bCs/>
        </w:rPr>
        <w:t xml:space="preserve">둘 다 Data Type</w:t>
      </w:r>
      <w:r>
        <w:t xml:space="preserve">으로 표기돼, 서로 다른 의미(전자는 LLM·LMM·CoT 등 대표 특징 키워드, 후자는 텍스트·이미지·3D 등 구축 형태)를 같은 식별자로 가리킨다. 향후 직렬화(JSON 키·RDF 속성)로 옮길 때 충돌이 불가피하다.</w:t>
      </w:r>
    </w:p>
    <w:p>
      <w:pPr>
        <w:spacing w:after="140" w:line="300"/>
      </w:pPr>
      <w:r>
        <w:t xml:space="preserve">또한 표 5-1의 항목 8 ‘데이터 사용 시 고려사항’의 영문명이 Dataset Construction Considerations로, ‘사용(use)’이 아니라 ‘구축(construction)’으로 오역돼 있다. 같은 항목의 하위요소 8-1 ‘데이터 구축 유의사항’은 Data Construction Considerations로 표기되어 Dataset/Data도 엇갈린다. 1-2/2-2의 영문명을 구분하고(예: 데이터 구분→Data Category), 항목 8의 영문명을 의미에 맞게 정정하면 해소된다.</w:t>
      </w:r>
    </w:p>
    <w:p>
      <w:pPr>
        <w:pStyle w:val="Heading2"/>
      </w:pPr>
      <w:r>
        <w:t xml:space="preserve">2.3 약어 정리 누락 (심각도 낮음)</w:t>
      </w:r>
    </w:p>
    <w:p>
      <w:pPr>
        <w:spacing w:after="140" w:line="300"/>
      </w:pPr>
      <w:r>
        <w:t xml:space="preserve">4장 약어는 ‘해당 사항 없음’이다. 그러나 본문과 부록 사용 예시는 LLM·LMM·CoT(데이터 구분), B-Box·Semantic Segmentation(라벨링 유형), NAS·GPU·CUDA·OS(모델 설치 환경), SGD·CrossEntropy·ROUGE-L(학습·평가), NIA 등 다수의 약어를 정의 없이 사용한다. 이는 1530·0976에서 지적된 것과 동일한 ‘약어절 ↔ 본문 사용’ 불일치다. 본문에서 쓰는 약어를 4장에 정리하면 가독성과 일관성이 함께 개선된다.</w:t>
      </w:r>
    </w:p>
    <w:p>
      <w:pPr>
        <w:pStyle w:val="Heading1"/>
      </w:pPr>
      <w:r>
        <w:t xml:space="preserve">3. 점검 통과(N) · 비해당(N/A) 항목</w:t>
      </w:r>
    </w:p>
    <w:p>
      <w:pPr>
        <w:spacing w:after="140" w:line="300"/>
      </w:pPr>
      <w:r>
        <w:t xml:space="preserve">아래 항목은 검사 대상이 있었으나 결함이 발견되지 않았거나(N), 이 표준의 성격상 적용 대상이 아닌(N/A) 항목이다. 이 표준이 ‘무엇이 깨끗한가’도 함께 남긴다.</w:t>
      </w:r>
    </w:p>
    <w:p>
      <w:pPr>
        <w:pStyle w:val="ListParagraph"/>
        <w:numPr>
          <w:ilvl w:val="0"/>
          <w:numId w:val="0"/>
        </w:numPr>
        <w:spacing w:after="80" w:line="290"/>
        <w:ind w:left="360" w:hanging="220"/>
      </w:pPr>
      <w:r>
        <w:t xml:space="preserve">• </w:t>
      </w:r>
      <w:r>
        <w:rPr>
          <w:b/>
          <w:bCs/>
        </w:rPr>
        <w:t xml:space="preserve">데이터 타입 정의 오류 — (N/A · 비해당)</w:t>
      </w:r>
      <w:r>
        <w:t xml:space="preserve"> 요소가 한/영 명칭·산문 설명·필수여부(M/O/R)로 정의되는 항목 목록형 표준으로, xsd 등 값 타입을 정의하지 않는다. 1530식 비트폭·범위 오기 같은 타입 정의 오류 자체가 성립하지 않음.</w:t>
      </w:r>
    </w:p>
    <w:p>
      <w:pPr>
        <w:pStyle w:val="ListParagraph"/>
        <w:numPr>
          <w:ilvl w:val="0"/>
          <w:numId w:val="0"/>
        </w:numPr>
        <w:spacing w:after="80" w:line="290"/>
        <w:ind w:left="360" w:hanging="220"/>
      </w:pPr>
      <w:r>
        <w:t xml:space="preserve">• </w:t>
      </w:r>
      <w:r>
        <w:rPr>
          <w:b/>
          <w:bCs/>
        </w:rPr>
        <w:t xml:space="preserve">단위 표기 모호성 — (N/A · 비해당)</w:t>
      </w:r>
      <w:r>
        <w:t xml:space="preserve"> 물리 측정값·단위를 다루지 않는다. 3-7 ‘단위(Unit)’는 가공 데이터의 수량을 세는 카운팅 단위(예: 파일 단위(건))로, 단위 혼재·표시용 코드 같은 모호성 대상이 아님.</w:t>
      </w:r>
    </w:p>
    <w:p>
      <w:pPr>
        <w:pStyle w:val="ListParagraph"/>
        <w:numPr>
          <w:ilvl w:val="0"/>
          <w:numId w:val="0"/>
        </w:numPr>
        <w:spacing w:after="80" w:line="290"/>
        <w:ind w:left="360" w:hanging="220"/>
      </w:pPr>
      <w:r>
        <w:t xml:space="preserve">• </w:t>
      </w:r>
      <w:r>
        <w:rPr>
          <w:b/>
          <w:bCs/>
        </w:rPr>
        <w:t xml:space="preserve">코드/enum 정의 오류 — (N · 통과)</w:t>
      </w:r>
      <w:r>
        <w:t xml:space="preserve"> 필수여부 M/O/R 외에 코드표·열거형 정의가 없다. 그 범례(표 5-2)는 표 6-1~6-9 전반에서 일관되게 사용되며, 헤더·값 오류는 발견되지 않음.</w:t>
      </w:r>
    </w:p>
    <w:p>
      <w:pPr>
        <w:pStyle w:val="ListParagraph"/>
        <w:numPr>
          <w:ilvl w:val="0"/>
          <w:numId w:val="0"/>
        </w:numPr>
        <w:spacing w:after="80" w:line="290"/>
        <w:ind w:left="360" w:hanging="220"/>
      </w:pPr>
      <w:r>
        <w:t xml:space="preserve">• </w:t>
      </w:r>
      <w:r>
        <w:rPr>
          <w:b/>
          <w:bCs/>
        </w:rPr>
        <w:t xml:space="preserve">기타 — (N · 통과)</w:t>
      </w:r>
      <w:r>
        <w:t xml:space="preserve"> 위 분류 외 추가 결함은 발견되지 않음.</w:t>
      </w:r>
    </w:p>
    <w:p>
      <w:pPr>
        <w:pStyle w:val="Heading1"/>
      </w:pPr>
      <w:r>
        <w:t xml:space="preserve">4. 조치 우선순위</w:t>
      </w:r>
    </w:p>
    <w:p>
      <w:pPr>
        <w:spacing w:after="140" w:line="300"/>
      </w:pPr>
      <w:r>
        <w:t xml:space="preserve">발견된 세 항목은 모두 심각도 ‘낮음’으로, 표준의 기술 내용에는 영향이 없는 편집·분류 차원의 정정이다. 처리 순서는 (1) 영문 요소명 중복·오역(2.2) — 향후 직렬화·상호운용에 직접 영향을 주므로 우선 정정, (2) 약어 정리(2.3) — 편집 일괄 처리, (3) 인용 표준 분류(2.1) — 의존의 규범성 판정 후 등재 여부 결정 순이다. 종합하면 이 표준은 편집 품질이 양호하며, 핵심 과제는 A축 결함이 아니라 B축(AI-Ready) 형식화에 있다 — 이는 개선방향 보고서에서 다룬다.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110" w:before="220"/>
      <w:outlineLvl w:val="1"/>
    </w:pPr>
    <w:rPr>
      <w:rFonts w:ascii="Malgun Gothic" w:cs="Malgun Gothic" w:eastAsia="Malgun Gothic" w:hAnsi="Malgun Gothic"/>
      <w:b/>
      <w:bCs/>
      <w:color w:val="2E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2026-06-22T06:18:39.213Z</dcterms:created>
  <dcterms:modified xsi:type="dcterms:W3CDTF">2026-06-22T06:18:39.213Z</dcterms:modified>
</cp:coreProperties>
</file>

<file path=docProps/custom.xml><?xml version="1.0" encoding="utf-8"?>
<Properties xmlns="http://schemas.openxmlformats.org/officeDocument/2006/custom-properties" xmlns:vt="http://schemas.openxmlformats.org/officeDocument/2006/docPropsVTypes"/>
</file>