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표준 검토 의견서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무기체계 센서데이터 관리를 위한 메타데이터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TTAK.KO-10.1598 (제정일 2025.12.05.) · PG606</w:t>
      </w:r>
    </w:p>
    <w:p>
      <w:pPr>
        <w:pStyle w:val="Heading1"/>
      </w:pPr>
      <w:r>
        <w:t xml:space="preserve">1. 검토 개요와 방법</w:t>
      </w:r>
    </w:p>
    <w:p>
      <w:pPr>
        <w:spacing w:after="140" w:line="300"/>
      </w:pPr>
      <w:r>
        <w:t xml:space="preserve">본 검토는 TTAK.KO-10.1598 「무기체계 센서데이터 관리를 위한 메타데이터」(제1판, 2025.12.05, PG606)를 표지·서문·본문(1~6장)·부록(Ⅰ-1~Ⅰ-6)까지 정밀 검토한 결과다. 이 표준은 국방 CBM+(상태기반예측정비) 환경에서 무기체계 센서데이터를 수집·저장·관리·연계하기 위한 메타데이터를 17개 요소군·124개 세부요소로 규정하는 관계형(PK/FK) 항목 정의형 표준으로, 센서데이터의 물리적 구조를 규정하는 TTAK.KO-10.1530(데이터 구조형)과 달리 데이터에 대한 관리·출처·품질·보안 속성을 다룬다.</w:t>
      </w:r>
    </w:p>
    <w:p>
      <w:pPr>
        <w:spacing w:after="140" w:line="300"/>
      </w:pPr>
      <w:r>
        <w:t xml:space="preserve">검토는 A축 7개 결함 유형으로 수행했으며 결과는 Y 3건(단위 표기 모호성, 오타·표기 불일치, 내부 일관성), N 3건(인용/준용표준 분류, 코드/enum 정의, 기타), N/A 1건(데이터 타입 정의 오류)이다. Y는 결함 존재, N은 검사 대상이 있으나 통과, N/A는 유형 자체가 본 표준에 비해당함을 뜻한다. 결함은 치명적 오류가 아니라 표 번호 중복·칸 오기입·단위 코드 모호성 등 편집·형식 수준에 집중된다.</w:t>
      </w:r>
    </w:p>
    <w:p>
      <w:pPr>
        <w:pStyle w:val="Heading1"/>
      </w:pPr>
      <w:r>
        <w:t xml:space="preserve">2. 발견 사항 — 요약과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560"/>
        <w:gridCol w:w="1620"/>
        <w:gridCol w:w="3206"/>
        <w:gridCol w:w="2780"/>
        <w:gridCol w:w="860"/>
      </w:tblGrid>
      <w:tr>
        <w:trPr>
          <w:tblHeader/>
        </w:trPr>
        <w:tc>
          <w:tcPr>
            <w:tcW w:type="dxa" w:w="5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62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위치</w:t>
            </w:r>
          </w:p>
        </w:tc>
        <w:tc>
          <w:tcPr>
            <w:tcW w:type="dxa" w:w="320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문제점</w:t>
            </w:r>
          </w:p>
        </w:tc>
        <w:tc>
          <w:tcPr>
            <w:tcW w:type="dxa" w:w="278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수정 권고</w:t>
            </w:r>
          </w:p>
        </w:tc>
        <w:tc>
          <w:tcPr>
            <w:tcW w:type="dxa" w:w="86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심각도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1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6-39 / 표 6-31 / 표 6-45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&lt;표 6-39&gt;[센서측정항목-값단위](No.37) 값 도메인 {g, m/s^2, °C, %, rad/s, deg, Pa}가 표시용 문자 코드일 뿐 단위 어휘에 바인딩되지 않고 m/s^2(ASCII)와 °C(기호)가 혼재한다. &lt;표 6-31&gt;·&lt;표 6-45&gt; 샘플링단위는 {s,ms,μs,ns,Hz,kHz}로 주기 계열과 빈도 계열을 한 칸에 섞었다.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값단위·샘플링단위를 UCUM/QUDT 단위 IRI에 매핑하고, 주기 단위와 빈도 단위를 별도 필드로 분리하여 동일 항목에 복수 단위 계열이 혼재하지 않도록 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2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6-77 / 표 6-21 / 표 6-123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&lt;표 6-77&gt;은 제목·요소명이 '데이블설명'(No.75)으로 적혀 &lt;표 6-2&gt;·6.2.2.10 본문의 '테이블설명'과 불일치한다. 한글 요소명을 쓰면서도 참조 설명에 영문 내부명 system_id(&lt;표 6-21&gt;·No.19)·actor_id(&lt;표 6-123&gt;·No.121), file_id·db_id(6.2.1.2)가 노출되고 요소군명 'DB정보'를 '정보DB'로 혼용한다.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'데이블설명'을 '테이블설명'으로 정정하고, 참조 설명의 영문 내부 컬럼명을 한글 요소명(무기체계ID·담당자ID·파일ID·DBID)으로 통일하며 'DB정보' 표기를 일관되게 사용한다.</w:t>
            </w:r>
          </w:p>
        </w:tc>
        <w:tc>
          <w:tcPr>
            <w:tcW w:type="dxa" w:w="86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낮음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3</w:t>
            </w:r>
          </w:p>
        </w:tc>
        <w:tc>
          <w:tcPr>
            <w:tcW w:type="dxa" w:w="1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 6-16 / 표 6-109 / 표 6-53</w:t>
            </w:r>
          </w:p>
        </w:tc>
        <w:tc>
          <w:tcPr>
            <w:tcW w:type="dxa" w:w="320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&lt;표 6-16&gt;[무기체계-무기체계설명]이 26·27쪽에 동일 No.14로 두 번 부여되어 표 번호가 중복되고 No.16 배치부대명 표가 번호 체계에서 누락된 것으로 보인다. &lt;표 6-109&gt;(No.107)는 '요소군' 칸이 '0'으로 오기입됐고, &lt;표 6-53&gt; 데이터세트버전의 검증규칙/길이제약 칸은 정규식이 줄바꿈으로 깨져 조각만 남는다.</w:t>
            </w:r>
          </w:p>
        </w:tc>
        <w:tc>
          <w:tcPr>
            <w:tcW w:type="dxa" w:w="2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중복된 &lt;표 6-16&gt; 번호를 바로잡아 누락 표(배치부대명)에 정상 번호를 부여하고, &lt;표 6-109&gt; '요소군' 칸을 '감사이벤트'로 정정하며 &lt;표 6-53&gt;의 권장 정규식을 한 칸에 온전히 표기한다.</w:t>
            </w:r>
          </w:p>
        </w:tc>
        <w:tc>
          <w:tcPr>
            <w:tcW w:type="dxa" w:w="860"/>
            <w:shd w:fill="FCE5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t xml:space="preserve">중간</w:t>
            </w:r>
          </w:p>
        </w:tc>
      </w:tr>
    </w:tbl>
    <w:p>
      <w:pPr>
        <w:pStyle w:val="Heading2"/>
      </w:pPr>
      <w:r>
        <w:t xml:space="preserve">2.1 단위 표기 모호성 (심각도 중간)</w:t>
      </w:r>
    </w:p>
    <w:p>
      <w:pPr>
        <w:spacing w:after="140" w:line="300"/>
      </w:pPr>
      <w:r>
        <w:t xml:space="preserve">&lt;표 6-39&gt;[센서측정항목-값단위](No.37)의 값 도메인 {g, m/s^2, °C, %, rad/s, deg, Pa}는 표시용 문자 코드일 뿐 UCUM·QUDT 같은 단위 어휘에 연결되지 않아 기계가 단위의 차원·환산을 해석할 수 없고, m/s^2(ASCII 표기)와 °C(기호)가 한 집합에 혼재한다. 또한 &lt;표 6-31&gt;·&lt;표 6-45&gt; 샘플링단위는 {s, ms, μs, ns, Hz, kHz}로 '주기 계열(s, ms, …)'과 '빈도 계열(Hz, kHz)'을 단일 코드 칸에 섞어 두어 같은 항목에 상이한 단위 계열이 공존한다. 측정값의 정량 해석이 핵심인 센서데이터 표준에서 단위가 표시용 코드에 머무는 것은 상호운용성 저해 요인이다.</w:t>
      </w:r>
    </w:p>
    <w:p>
      <w:pPr>
        <w:pStyle w:val="Heading2"/>
      </w:pPr>
      <w:r>
        <w:t xml:space="preserve">2.2 오타·표기 불일치 (심각도 낮음)</w:t>
      </w:r>
    </w:p>
    <w:p>
      <w:pPr>
        <w:spacing w:after="140" w:line="300"/>
      </w:pPr>
      <w:r>
        <w:t xml:space="preserve">&lt;표 6-77&gt;은 제목과 '요소명' 칸이 모두 '데이블설명'으로 적혀 있으나(No.75) 요약표 &lt;표 6-2&gt;와 6.2.2.10 본문은 '테이블설명'으로 표기해 동일 요소 명칭이 불일치한다. 또한 한글 요소명을 쓰는 표준임에도 참조 설명에 영문 내부 컬럼명이 노출된다: &lt;표 6-21&gt;·요약표 No.19는 '무기체계 – system_id', &lt;표 6-123&gt;·No.121은 '담당자 – actor_id', 6.2.1.2 본문은 'file_id·db_id'를 그대로 쓴다. 같은 본문에서 요소군명 'DB정보'를 '정보DB'(6.2.1.2 4단계)로 적은 표기 혼용도 있다.</w:t>
      </w:r>
    </w:p>
    <w:p>
      <w:pPr>
        <w:pStyle w:val="Heading2"/>
      </w:pPr>
      <w:r>
        <w:t xml:space="preserve">2.3 내부 일관성 (심각도 중간)</w:t>
      </w:r>
    </w:p>
    <w:p>
      <w:pPr>
        <w:spacing w:after="140" w:line="300"/>
      </w:pPr>
      <w:r>
        <w:t xml:space="preserve">&lt;표 6-16&gt;[무기체계-무기체계설명]이 26쪽과 27쪽에 동일 No.14 내용으로 두 번 부여되어 표 번호가 중복되며, &lt;표 6-15&gt;(배치부대ID, No.15) 다음에 &lt;표 6-17&gt;(배치부대설명, No.17)로 이어지는 흐름상 No.16 배치부대명 표가 번호 체계에서 누락된 것으로 보인다. &lt;표 6-109&gt;[감사이벤트-적용대상유형](No.107)은 '요소군' 칸이 '감사이벤트'여야 하나 '0'으로 잘못 입력됐다. &lt;표 6-53&gt; 데이터세트버전의 '검증규칙'·'길이제약' 칸은 권장 패턴 정규식이 줄바꿈으로 분리되어 조각만 남아 의미를 알 수 없다. 모두 표 본문의 칸 채움·번호 부여 일관성 결함이다.</w:t>
      </w:r>
    </w:p>
    <w:p>
      <w:pPr>
        <w:pStyle w:val="Heading1"/>
      </w:pPr>
      <w:r>
        <w:t xml:space="preserve">3. 점검 통과(N) · 비해당(N/A) 항목</w:t>
      </w:r>
    </w:p>
    <w:p>
      <w:pPr>
        <w:spacing w:after="140" w:line="300"/>
      </w:pPr>
      <w:r>
        <w:t xml:space="preserve">아래 항목은 검사 대상이 있었으나 결함이 발견되지 않았거나(N), 이 표준의 성격상 적용 대상이 아닌(N/A) 항목이다.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데이터 타입 정의 오류</w:t>
      </w:r>
      <w:r>
        <w:t xml:space="preserve"> — (N/A · 비해당) &lt;표 5-2&gt;가 STRING·INT·DATETIME·FLOAT·JSON의 추상 타입만 정의하고 XML Schema 등 정밀 타입 정의가 없어 타입 오기 유형이 성립하지 않는다.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인용/준용표준 분류 오류</w:t>
      </w:r>
      <w:r>
        <w:t xml:space="preserve"> — (N · 통과) 제2장·서문 3장 모두 '해당 사항 없음/None'이며, NATO STANAG·ISO 언급(5.2, 6.2.2.2)은 비규범적 상호운용성 고려일 뿐 외부 스키마·어휘를 준용하지 않아 누락된 규범 의존이 없다.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코드/enum 정의 오류</w:t>
      </w:r>
      <w:r>
        <w:t xml:space="preserve"> — (N · 통과) 보안등급·권한·출처 역할·행위·파일 포맷 등 코드세트(&lt;표 6-97·6-107·6-122·6-112·6-68&gt;)의 헤더·값 정의 자체에는 오류가 없다.</w:t>
      </w:r>
    </w:p>
    <w:p>
      <w:pPr>
        <w:pStyle w:val="ListParagraph"/>
        <w:numPr>
          <w:ilvl w:val="0"/>
          <w:numId w:val="0"/>
        </w:numPr>
        <w:spacing w:after="80" w:line="290"/>
        <w:ind w:left="360" w:hanging="220"/>
      </w:pPr>
      <w:r>
        <w:t xml:space="preserve">• </w:t>
      </w:r>
      <w:r>
        <w:rPr>
          <w:b/>
          <w:bCs/>
        </w:rPr>
        <w:t xml:space="preserve">기타</w:t>
      </w:r>
      <w:r>
        <w:t xml:space="preserve"> — (N · 통과) 위 분류 외 별도 결함은 확인되지 않으며 적용범위·기술원칙·구성요건 서술은 일관적이다.</w:t>
      </w:r>
    </w:p>
    <w:p>
      <w:pPr>
        <w:pStyle w:val="Heading1"/>
      </w:pPr>
      <w:r>
        <w:t xml:space="preserve">4. 조치 우선순위</w:t>
      </w:r>
    </w:p>
    <w:p>
      <w:pPr>
        <w:spacing w:after="140" w:line="300"/>
      </w:pPr>
      <w:r>
        <w:t xml:space="preserve">조치 우선순위는 (1) 단위 모호성(2.1) — 정량 해석·상호운용성에 직접 영향하므로 값단위·샘플링단위를 표준 단위 어휘로 정렬하는 작업을 최우선으로 한다. (2) 내부 일관성(2.3) — 표 6-16 중복·표 6-109 '요소군=0'·표 6-53 정규식 깨짐은 차기 개정 시 일괄 정정한다. (3) 오타·표기 불일치(2.2) — '데이블설명' 오타와 영문 내부명 노출은 편집 교정으로 비교적 쉽게 해소 가능하므로 동시 정리한다.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2026-06-22T06:18:39.213Z</dcterms:created>
  <dcterms:modified xsi:type="dcterms:W3CDTF">2026-06-22T06:18:39.213Z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