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88" w:lineRule="auto"/>
        <w:jc w:val="center"/>
      </w:pPr>
      <w:r>
        <w:rPr>
          <w:rFonts w:ascii="맑은 고딕" w:hAnsi="맑은 고딕" w:eastAsia="맑은 고딕"/>
          <w:b/>
          <w:color w:val="1F4E79"/>
          <w:sz w:val="32"/>
        </w:rPr>
        <w:t>AI-Ready 표준화 전략 — TG(타 PG) 종합 매트릭스 분석</w:t>
      </w:r>
    </w:p>
    <w:p>
      <w:pPr>
        <w:spacing w:before="0" w:after="40" w:line="288" w:lineRule="auto"/>
        <w:jc w:val="center"/>
      </w:pPr>
      <w:r>
        <w:rPr>
          <w:rFonts w:ascii="맑은 고딕" w:hAnsi="맑은 고딕" w:eastAsia="맑은 고딕"/>
          <w:b w:val="0"/>
          <w:color w:val="000000"/>
          <w:sz w:val="21"/>
        </w:rPr>
        <w:t>타 PG 27종 유형 분류 · 기분석 9종 매트릭스 · 최종 샘플 5종 중 타 PG 3종(1530·1510·0310) 선정 근거</w:t>
      </w:r>
    </w:p>
    <w:p>
      <w:pPr>
        <w:spacing w:before="0" w:after="200" w:line="288" w:lineRule="auto"/>
        <w:jc w:val="center"/>
      </w:pPr>
      <w:r>
        <w:rPr>
          <w:rFonts w:ascii="맑은 고딕" w:hAnsi="맑은 고딕" w:eastAsia="맑은 고딕"/>
          <w:b w:val="0"/>
          <w:color w:val="595959"/>
          <w:sz w:val="18"/>
        </w:rPr>
        <w:t>TG 27종 → AI-Ready 적용 17종 / 비-메타데이터 제외 10종 · 기분석 9종 평균 성숙도 ≈ 43.5% · 인용·준용 분류오류 8/9(89%)</w:t>
      </w:r>
    </w:p>
    <w:p>
      <w:pPr>
        <w:spacing w:before="220" w:after="80" w:line="288" w:lineRule="auto"/>
      </w:pPr>
      <w:r>
        <w:rPr>
          <w:rFonts w:ascii="맑은 고딕" w:hAnsi="맑은 고딕" w:eastAsia="맑은 고딕"/>
          <w:b/>
          <w:color w:val="1F4E79"/>
          <w:sz w:val="26"/>
        </w:rPr>
        <w:t>들어가며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이 보고서는 TG(타 PG) 27종 표준을 대상으로 한다. (당초 28종에 포함됐던 TTAK.KO-10.1344-Part2는 PG606 표준이므로 RG로 이관해 제외, 27종이 되었다.) 목적은 두 가지다. 첫째, 27종을 유형별로 분류해 AI-Ready 잣대가 성립하는 데이터·메타데이터 계열과 왜곡되는 인터페이스·프로토콜 계열을 가른다. 둘째, 기분석 9종 매트릭스를 해석해 최종 샘플 5종 중 타 PG 3종이 왜 1530·1510·0310으로 확정되는지를 근거 위에 세운다.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결론을 먼저 밝히면, 최종 샘플 5종은 서로 다른 다섯 표준 유형을 한 종씩 대표한다. 메타데이터 2유형(AI·범용)은 PG606의 1594·0976이, 나머지 3유형(데이터 구조·데이터 모델·품질 검증)은 타 PG인 1530·1510·0310이 맡는다.</w:t>
      </w:r>
    </w:p>
    <w:p>
      <w:pPr>
        <w:spacing w:before="220" w:after="80" w:line="288" w:lineRule="auto"/>
      </w:pPr>
      <w:r>
        <w:rPr>
          <w:rFonts w:ascii="맑은 고딕" w:hAnsi="맑은 고딕" w:eastAsia="맑은 고딕"/>
          <w:b/>
          <w:color w:val="1F4E79"/>
          <w:sz w:val="26"/>
        </w:rPr>
        <w:t>1. TG 27종의 구성 — 유형 분류</w:t>
      </w:r>
    </w:p>
    <w:p>
      <w:pPr>
        <w:spacing w:before="140" w:after="60" w:line="288" w:lineRule="auto"/>
      </w:pPr>
      <w:r>
        <w:rPr>
          <w:rFonts w:ascii="맑은 고딕" w:hAnsi="맑은 고딕" w:eastAsia="맑은 고딕"/>
          <w:b/>
          <w:color w:val="000000"/>
          <w:sz w:val="22"/>
        </w:rPr>
        <w:t>1.1 27종을 여섯 계열로 나눈다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28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계열</w:t>
            </w:r>
          </w:p>
        </w:tc>
        <w:tc>
          <w:tcPr>
            <w:tcW w:type="dxa" w:w="680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종수</w:t>
            </w:r>
          </w:p>
        </w:tc>
        <w:tc>
          <w:tcPr>
            <w:tcW w:type="dxa" w:w="3061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대표 표준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AI-Ready 적용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데이터 모델·구조·포맷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6</w:t>
            </w:r>
          </w:p>
        </w:tc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1510★·1530★·0326-P6·0326-P4·1331-P4·1569·1390-P1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적용 — 관계 그래프화 시연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품질 검증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3</w:t>
            </w:r>
          </w:p>
        </w:tc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0310★·1419·1482-P2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적용 — DQV/SHACL 트랙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메타데이터(어휘·카탈로그·수집)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3</w:t>
            </w:r>
          </w:p>
        </w:tc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1291-P1·Y.3603·1523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적용 — 형식화 모범군 포함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신원·자격증명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3</w:t>
            </w:r>
          </w:p>
        </w:tc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1561·1415·1502-P1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부분 — 대조군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서비스 명세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1</w:t>
            </w:r>
          </w:p>
        </w:tc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1500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부분 — 대조군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인터페이스·프로토콜·API·통신·방송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11</w:t>
            </w:r>
          </w:p>
        </w:tc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0904·1453·12.0404·0326-P7/9·1423·07.0142·06.0410·06.0580·OT-06.0055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제외 — 비-메타데이터</w:t>
            </w:r>
          </w:p>
        </w:tc>
      </w:tr>
    </w:tbl>
    <w:p>
      <w:pPr>
        <w:spacing w:after="40"/>
      </w:pP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※ ★ = 최종 샘플 5종 중 타 PG 3종. 적용 17종, 제외(비-메타데이터) 10종. 품질 검증 계열은 1344-Part2(PG606) 이관으로 4→3종이 됐다.</w:t>
      </w:r>
    </w:p>
    <w:p>
      <w:pPr>
        <w:spacing w:before="140" w:after="60" w:line="288" w:lineRule="auto"/>
      </w:pPr>
      <w:r>
        <w:rPr>
          <w:rFonts w:ascii="맑은 고딕" w:hAnsi="맑은 고딕" w:eastAsia="맑은 고딕"/>
          <w:b/>
          <w:color w:val="000000"/>
          <w:sz w:val="22"/>
        </w:rPr>
        <w:t>1.2 제외 10종의 근거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시스템 연동·통신·기록·메시지 규격 10종(0904·1453·12.0404·0326-P7·0326-P9·1423·07.0142·06.0410·06.0580·OT-06.0055)은 데이터의 의미·구조·품질을 기술하는 메타데이터가 아니라 기능·통신 절차를 규정하므로, AI-Ready 잣대에서 제외한다(검토 누락이 아니라 범위 판단).</w:t>
      </w:r>
    </w:p>
    <w:p>
      <w:pPr>
        <w:spacing w:before="220" w:after="80" w:line="288" w:lineRule="auto"/>
      </w:pPr>
      <w:r>
        <w:rPr>
          <w:rFonts w:ascii="맑은 고딕" w:hAnsi="맑은 고딕" w:eastAsia="맑은 고딕"/>
          <w:b/>
          <w:color w:val="1F4E79"/>
          <w:sz w:val="26"/>
        </w:rPr>
        <w:t>2. 기분석 9종 매트릭스가 말하는 것</w:t>
      </w:r>
    </w:p>
    <w:p>
      <w:pPr>
        <w:spacing w:before="140" w:after="60" w:line="288" w:lineRule="auto"/>
      </w:pPr>
      <w:r>
        <w:rPr>
          <w:rFonts w:ascii="맑은 고딕" w:hAnsi="맑은 고딕" w:eastAsia="맑은 고딕"/>
          <w:b/>
          <w:color w:val="000000"/>
          <w:sz w:val="22"/>
        </w:rPr>
        <w:t>2.1 성숙도 분포 — 17%에서 83%까지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기분석 9종(전부 타 PG)의 성숙도를 높은 순으로 보면 다음과 같다. 평균은 약 43.5%로, 1344-Part2(8%) 이관 이후 상승했다.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907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성숙도</w:t>
            </w:r>
          </w:p>
        </w:tc>
        <w:tc>
          <w:tcPr>
            <w:tcW w:type="dxa" w:w="794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PG</w:t>
            </w:r>
          </w:p>
        </w:tc>
        <w:tc>
          <w:tcPr>
            <w:tcW w:type="dxa" w:w="1474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유형</w:t>
            </w:r>
          </w:p>
        </w:tc>
        <w:tc>
          <w:tcPr>
            <w:tcW w:type="dxa" w:w="3969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표준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10 · 83%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PG1004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메타데이터(카탈로그)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sz w:val="17"/>
              </w:rPr>
              <w:t>TTAE.IT-Y.3603 — 빅데이터 카탈로그 메타데이터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8 · 67%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PG1004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어휘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sz w:val="17"/>
              </w:rPr>
              <w:t>TTAK.KO-10.1291-Part1 — 데이터맵 어휘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7 · 58%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PG1006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신원/VC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sz w:val="17"/>
              </w:rPr>
              <w:t>TTAK.KO-10.1561 — 검증가능 크리덴셜 프로파일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5 · 42%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PG409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데이터 모델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sz w:val="17"/>
              </w:rPr>
              <w:t>TTAK.KO-10.1510 — 디지털 국토정보 공통 데이터 모델 ★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4 · 33%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PG609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데이터 모델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sz w:val="17"/>
              </w:rPr>
              <w:t>TTAK.KO-11.0326-Part6 — 디지털 트윈 객체 데이터 모델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4 · 33%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PG1006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서비스 명세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sz w:val="17"/>
              </w:rPr>
              <w:t>TTAK.KO-10.1500 — NFT 저작권 정보 확인 명세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4 · 33%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PG1005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품질 검증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sz w:val="17"/>
              </w:rPr>
              <w:t>TTAK.KO-10.1419 — 음성·텍스트 의미정확성 품질검증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3 · 25%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PG604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품질 검증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sz w:val="17"/>
              </w:rPr>
              <w:t>TTAK.KO-11.0310 — 자율주행 학습데이터 품질검증 ★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2 · 17%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PG426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데이터 구조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sz w:val="17"/>
              </w:rPr>
              <w:t>TTAK.KO-10.1530 — 수산양식 센서 데이터 구조 ★</w:t>
            </w:r>
          </w:p>
        </w:tc>
      </w:tr>
    </w:tbl>
    <w:p>
      <w:pPr>
        <w:spacing w:after="40"/>
      </w:pPr>
    </w:p>
    <w:p>
      <w:pPr>
        <w:spacing w:before="140" w:after="60" w:line="288" w:lineRule="auto"/>
      </w:pPr>
      <w:r>
        <w:rPr>
          <w:rFonts w:ascii="맑은 고딕" w:hAnsi="맑은 고딕" w:eastAsia="맑은 고딕"/>
          <w:b/>
          <w:color w:val="000000"/>
          <w:sz w:val="22"/>
        </w:rPr>
        <w:t>2.2 두 층으로 갈린다 — 형식화 모범군 vs 전환 필요 코호트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상위 3종(Y.3603·1291-P1·1561, 58~83%)은 RDF·온톨로지·JSON-LD로 설계된 모범군이라 재작성 대상이 아니라 수준 요건의 모범 템플릿으로 쓴다. 하위 전환 필요 코호트(17~42%)에서 유형을 벌려 샘플을 고른다.</w:t>
      </w:r>
    </w:p>
    <w:p>
      <w:pPr>
        <w:spacing w:before="140" w:after="60" w:line="288" w:lineRule="auto"/>
      </w:pPr>
      <w:r>
        <w:rPr>
          <w:rFonts w:ascii="맑은 고딕" w:hAnsi="맑은 고딕" w:eastAsia="맑은 고딕"/>
          <w:b/>
          <w:color w:val="000000"/>
          <w:sz w:val="22"/>
        </w:rPr>
        <w:t>2.3 구성요소별 평균 — 어디가 비어 있나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구성요소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평균</w:t>
            </w:r>
          </w:p>
        </w:tc>
        <w:tc>
          <w:tcPr>
            <w:tcW w:type="dxa" w:w="4252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운영 시맨틱 †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N·A</w:t>
            </w:r>
          </w:p>
        </w:tc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적용 0종 — 둘 다 ④ 품질 지표라 비해당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품질 프로파일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0.44</w:t>
            </w:r>
          </w:p>
        </w:tc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형식화 전무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접근/사용 제약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0.56</w:t>
            </w:r>
          </w:p>
        </w:tc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대조군(1561·1500) 외 비어 있음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출처/계보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0.67</w:t>
            </w:r>
          </w:p>
        </w:tc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부분이 다수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시맨틱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0.89</w:t>
            </w:r>
          </w:p>
        </w:tc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상위 3종이 견인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데이터 모델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1.33</w:t>
            </w:r>
          </w:p>
        </w:tc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값 형식은 대체로 갖춤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신태틱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1.33</w:t>
            </w:r>
          </w:p>
        </w:tc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상위 3종이 견인</w:t>
            </w:r>
          </w:p>
        </w:tc>
      </w:tr>
    </w:tbl>
    <w:p>
      <w:pPr>
        <w:spacing w:after="40"/>
      </w:pP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† 0310·1419는 ML 데이터를 다루지만 특정 데이터세트가 아니라 검증 절차를 규정하는 지침(프로파일 ④ 품질 지표)이므로 운영은 비해당이며 성숙도 분모에서 제외한다(분모 12). 따라서 기분석 9종에 운영이 적용되는 표준은 없다. 데이터 모델·신태틱은 상위 모범군 덕에 높고, 운영·품질·접근이 공백이다.</w:t>
      </w:r>
    </w:p>
    <w:p>
      <w:pPr>
        <w:spacing w:before="140" w:after="60" w:line="288" w:lineRule="auto"/>
      </w:pPr>
      <w:r>
        <w:rPr>
          <w:rFonts w:ascii="맑은 고딕" w:hAnsi="맑은 고딕" w:eastAsia="맑은 고딕"/>
          <w:b/>
          <w:color w:val="000000"/>
          <w:sz w:val="22"/>
        </w:rPr>
        <w:t>2.4 A축 결함 — 절차에서 온다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기분석 9종의 '인용·준용표준 분류 오류'는 9종 중 8종(89%)에서 발견된다(유일한 예외가 자체 인용표준을 등재한 0310). 도메인과 무관하고 기계 검출이 쉬운 절차 결함이다.</w:t>
      </w:r>
    </w:p>
    <w:p>
      <w:pPr>
        <w:spacing w:before="220" w:after="80" w:line="288" w:lineRule="auto"/>
      </w:pPr>
      <w:r>
        <w:rPr>
          <w:rFonts w:ascii="맑은 고딕" w:hAnsi="맑은 고딕" w:eastAsia="맑은 고딕"/>
          <w:b/>
          <w:color w:val="1F4E79"/>
          <w:sz w:val="26"/>
        </w:rPr>
        <w:t>3. 왜 1530·1510·0310인가 — 유형 대표성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샘플 5종은 서로 다른 다섯 유형을 한 종씩 대표한다. 메타데이터 2유형은 PG606(1594·0976), 타 PG는 그 둘로 덮이지 않는 세 유형을 채운다.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표준 유형</w:t>
            </w:r>
          </w:p>
        </w:tc>
        <w:tc>
          <w:tcPr>
            <w:tcW w:type="dxa" w:w="794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담당</w:t>
            </w:r>
          </w:p>
        </w:tc>
        <w:tc>
          <w:tcPr>
            <w:tcW w:type="dxa" w:w="794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표준</w:t>
            </w:r>
          </w:p>
        </w:tc>
        <w:tc>
          <w:tcPr>
            <w:tcW w:type="dxa" w:w="4252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선정 논리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데이터 구조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타 PG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1530</w:t>
            </w:r>
          </w:p>
        </w:tc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최저 성숙도 17%·전후 대비 극적·SOSA/QUDT 시연. 자매 1569는 유형 중복 제외.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데이터 모델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타 PG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1510</w:t>
            </w:r>
          </w:p>
        </w:tc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sz w:val="17"/>
              </w:rPr>
              <w:t>'공통 데이터 모델' 전형·공간어휘(GeoSPARQL)·관계 그래프화. 0326-P6은 NGSI-LD 부분형식화라 후순위.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품질 검증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타 PG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0310</w:t>
            </w:r>
          </w:p>
        </w:tc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sz w:val="17"/>
              </w:rPr>
              <w:t>JSON형 AI 품질→DQV/SHACL 자동생성 직결. 1419는 도메인 특화 후순위.</w:t>
            </w:r>
          </w:p>
        </w:tc>
      </w:tr>
    </w:tbl>
    <w:p>
      <w:pPr>
        <w:spacing w:after="40"/>
      </w:pP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모범군(Y.3603·1291-P1·1561)은 이미 형식화돼 전환 실증 대상이 아니므로 샘플에서 제외하고 수준 요건의 모범 템플릿으로 쓴다.</w:t>
      </w:r>
    </w:p>
    <w:p>
      <w:pPr>
        <w:spacing w:before="220" w:after="80" w:line="288" w:lineRule="auto"/>
      </w:pPr>
      <w:r>
        <w:rPr>
          <w:rFonts w:ascii="맑은 고딕" w:hAnsi="맑은 고딕" w:eastAsia="맑은 고딕"/>
          <w:b/>
          <w:color w:val="1F4E79"/>
          <w:sz w:val="26"/>
        </w:rPr>
        <w:t>4. 결론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TG 27종을 유형으로 나누면 17종에 AI-Ready 잣대가 성립하고 10종은 비-메타데이터다. 기분석 9종 매트릭스는 공백이 운영·품질·접근에 집중되고 성숙도가 '형식화 여부'로 갈림을 보인다. 이 위에서 최종 샘플 3종의 타 PG 배정(1530·1510·0310)이 유형 대표성으로 정당화된다. 여기에 PG606의 1594·0976을 더한 5종이 최종 검토대상이다.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