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AI-Ready 메타데이터 관점에서 본</w:t>
      </w:r>
    </w:p>
    <w:p>
      <w:pPr>
        <w:spacing w:after="40"/>
        <w:jc w:val="center"/>
      </w:pPr>
      <w:r>
        <w:rPr>
          <w:b/>
          <w:bCs/>
          <w:sz w:val="23"/>
          <w:szCs w:val="23"/>
        </w:rPr>
        <w:t xml:space="preserve">빅데이터 카탈로그 메타데이터 표준 분석 보고서</w:t>
      </w:r>
    </w:p>
    <w:p>
      <w:pPr>
        <w:spacing w:after="40"/>
        <w:jc w:val="center"/>
      </w:pPr>
      <w:r>
        <w:rPr>
          <w:b/>
          <w:bCs/>
          <w:sz w:val="23"/>
          <w:szCs w:val="23"/>
        </w:rPr>
        <w:t xml:space="preserve">빅데이터 – 데이터 카탈로그를 위한 메타데이터 요구사항 및 개념모델 (Big data – Requirements and Conceptual Model of Metadata for Data Catalogue)</w:t>
      </w:r>
    </w:p>
    <w:p>
      <w:pPr>
        <w:spacing w:after="240"/>
        <w:jc w:val="center"/>
      </w:pPr>
      <w:r>
        <w:rPr>
          <w:color w:val="666666"/>
          <w:sz w:val="20"/>
          <w:szCs w:val="20"/>
        </w:rPr>
        <w:t xml:space="preserve">TTAE.IT-Y.3603 (제정 2023.12.06.) · PG1004</w:t>
      </w:r>
    </w:p>
    <w:p>
      <w:pPr>
        <w:spacing w:after="240"/>
        <w:jc w:val="center"/>
      </w:pPr>
      <w:r>
        <w:t>7개 구성요소 프레임워크 기반 상세 분석 · 성숙도 10/12 ≈ 83% (운영 비해당)</w:t>
      </w:r>
    </w:p>
    <w:p>
      <w:pPr>
        <w:pStyle w:val="Heading1"/>
      </w:pPr>
      <w:r>
        <w:t xml:space="preserve">들어가며</w:t>
      </w:r>
    </w:p>
    <w:p>
      <w:pPr>
        <w:spacing w:after="140" w:line="300"/>
      </w:pPr>
      <w:r>
        <w:t xml:space="preserve">본 표준은 빅데이터 생태계에서 데이터 제공자가 소비자에게 제공할 데이터의 카탈로그 생성을 위해 메타데이터가 담아야 할 정보를 요구사항(제7장)과 UML 개념모델(제8장)로 정의하고, RDF/Turtle/JSON-LD 프로파일과 인스턴스 예제를 부록으로 제공하는 데이터 카탈로그 메타데이터 표준이다. ITU-T Y.3603(2023)을 영문 그대로 수용·준용한다.</w:t>
      </w:r>
    </w:p>
    <w:p>
      <w:pPr>
        <w:spacing w:after="140" w:line="300"/>
      </w:pPr>
      <w:r>
        <w:t xml:space="preserve">AI-Ready 출발점 진단에서 본 표준은 보정표상 상위권에 위치한다. 핵심 개념이 전역 IRI(bdc 네임스페이스)와 DCAT·Dublin Core에 바인딩되고(시맨틱 2), UML이 RDFS 그래프로 형식화되며(데이터모델 2), RDF/Turtle/JSON-LD 규범 직렬화를 모두 제공(신태틱 2)한다는 점에서 1594(11/14)와 동급 이상의 형식 성숙도를 보인다.</w:t>
      </w:r>
    </w:p>
    <w:p>
      <w:pPr>
        <w:spacing w:after="140" w:line="300"/>
      </w:pPr>
      <w:r>
        <w:t xml:space="preserve">핵심 진단은 '전환의 형식 토대는 갖췄으나 운영·계보·품질 차원이 free text에 머문다'는 것이다. 단위·집계 해석 규칙(QUDT/UCUM), 계보(PROV-O), 품질(DQV)을 표준 어휘에 결합하고, 본문↔프로파일 표기 정합과 외부 어휘의 인용표준 승격을 보완하면 완성도 높은 AI-Ready 카탈로그 표준으로 전환된다.</w:t>
      </w:r>
    </w:p>
    <w:p>
      <w:pPr>
        <w:pStyle w:val="Heading1"/>
      </w:pPr>
      <w:r>
        <w:t xml:space="preserve">1. 7개 구성요소 프레임워크</w:t>
      </w:r>
    </w:p>
    <w:p>
      <w:pPr>
        <w:spacing w:after="140" w:line="300"/>
      </w:pPr>
      <w:r>
        <w:t>AI-Ready 전환은 기존 메타데이터의 세 측면을 ‘다시 표현’하고(전환 3종), 대체로 빠져 있던 네 측면을 ‘새로 추가’하는(신규 4종) 작업이다. 괄호 안 숫자는 0(미충족)·1(부분)·2(충족) 등급이며, 합계를 14(운영 비해당 시 12)로 나눈 값이 성숙도다.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/>
      </w:tblPr>
      <w:tblGrid>
        <w:gridCol w:w="1800"/>
        <w:gridCol w:w="1100"/>
        <w:gridCol w:w="6126"/>
      </w:tblGrid>
      <w:tr>
        <w:trPr>
          <w:tblHeader/>
        </w:trPr>
        <w:tc>
          <w:tcPr>
            <w:tcW w:type="dxa" w:w="18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구성요소</w:t>
            </w:r>
          </w:p>
        </w:tc>
        <w:tc>
          <w:tcPr>
            <w:tcW w:type="dxa" w:w="11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6126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한 줄 의미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시맨틱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전환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각 항목의 의미와 항목 간 상하·포함 관계를 전역 어휘 IRI로 고정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데이터 모델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전환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각 항목 값의 유형·제약·반복을 기계검증 스키마(XSD·SHACL)로 정의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신태틱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전환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의미·구조를 적는 표준 직렬화 형식(JSON-LD·RDF 등)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운영 시맨틱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AI/ML이 데이터를 어떻게 쓰는지(train/val/test split·feature/label 역할)를 정의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출처/계보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누가·언제·어떤 과정으로 생성·가공됐는지 이력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품질 프로파일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정확도·결측·이상치 등 품질을 형식 어휘로 기술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접근/사용 제약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라이선스·접근 권한·이용 조건을 데이터에 결합</w:t>
            </w:r>
          </w:p>
        </w:tc>
      </w:tr>
    </w:tbl>
    <w:p>
      <w:pPr>
        <w:pStyle w:val="Heading1"/>
      </w:pPr>
      <w:r>
        <w:t xml:space="preserve">2. 먼저 알아두면 좋은 표준과 어휘</w:t>
      </w:r>
    </w:p>
    <w:p>
      <w:pPr>
        <w:pStyle w:val="Heading2"/>
      </w:pPr>
      <w:r>
        <w:t xml:space="preserve">2.1 의미 표현의 기초 — RDF · IRI · JSON-LD</w:t>
      </w:r>
    </w:p>
    <w:p>
      <w:pPr>
        <w:spacing w:after="140" w:line="300"/>
      </w:pPr>
      <w:r>
        <w:t>AI-Ready 표현의 바탕에는 W3C의 RDF 데이터 모델이 있다. RDF는 모든 사실을 ‘주어–서술어–목적어’ 트리플로 적고, 각 개념을 IRI(웹 주소 형태의 고유 이름)로 가리켜 누구나 같은 개념을 같은 주소로 참조하게 한다. 이를 파일로 적는 형식이 직렬화인데, 기존 JSON에 의미를 더하는 JSON-LD의 @context는 ‘이 JSON 키들이 어떤 IRI를 가리키는지’를 알려주어, 기존 데이터를 거의 그대로 둔 채 의미만 입히는 최소 전환 장치다.</w:t>
      </w:r>
    </w:p>
    <w:p>
      <w:pPr>
        <w:pStyle w:val="Heading2"/>
      </w:pPr>
      <w:r>
        <w:t xml:space="preserve">2.2 핵심 어휘</w:t>
      </w:r>
    </w:p>
    <w:p>
      <w:pPr>
        <w:spacing w:after="140" w:line="300"/>
      </w:pPr>
      <w:r>
        <w:rPr>
          <w:b/>
          <w:bCs/>
        </w:rPr>
        <w:t xml:space="preserve">DCAT v3 · schema.org · SKOS (W3C · community)</w:t>
      </w:r>
      <w:r>
        <w:t xml:space="preserve"> DCAT는 데이터셋·배포본을 기술하는 카탈로그 어휘(dcat:Dataset·dcat:distribution·dct:title 등), schema.org는 범용 의미 어휘, SKOS는 통제어·분류체계를 표현하는 어휘다.</w:t>
      </w:r>
    </w:p>
    <w:p>
      <w:pPr>
        <w:spacing w:after="140" w:line="300"/>
      </w:pPr>
      <w:r>
        <w:rPr>
          <w:b/>
          <w:bCs/>
        </w:rPr>
        <w:t xml:space="preserve">PROV-O (W3C)</w:t>
      </w:r>
      <w:r>
        <w:t xml:space="preserve"> 데이터의 출처·생성 이력(계보)을 표현하는 표준. prov:Activity·prov:wasGeneratedBy·wasDerivedFrom·wasAttributedTo로 ‘무엇이 어떤 활동으로 누구에 의해 생성·파생됐는가’를 그래프로 남긴다.</w:t>
      </w:r>
    </w:p>
    <w:p>
      <w:pPr>
        <w:spacing w:after="140" w:line="300"/>
      </w:pPr>
      <w:r>
        <w:rPr>
          <w:b/>
          <w:bCs/>
        </w:rPr>
        <w:t xml:space="preserve">DQV · SHACL (W3C)</w:t>
      </w:r>
      <w:r>
        <w:t xml:space="preserve"> DQV는 데이터 품질을 형식적으로 기술하는 어휘(dqv:Dimension·dqv:QualityMeasurement)이고, SHACL은 RDF가 규칙(필수 항목·값 범위·열거값)을 지키는지 자동 검증하는 표준이다.</w:t>
      </w:r>
    </w:p>
    <w:p>
      <w:pPr>
        <w:spacing w:after="140" w:line="300"/>
      </w:pPr>
      <w:r>
        <w:rPr>
          <w:b/>
          <w:bCs/>
        </w:rPr>
        <w:t xml:space="preserve">QUDT/UCUM · Croissant · ODRL (QUDT.org · MLCommons · W3C)</w:t>
      </w:r>
      <w:r>
        <w:t xml:space="preserve"> QUDT/UCUM은 단위·물리량을 IRI 또는 파싱 가능한 코드로, Croissant는 ML 데이터셋을 JSON-LD로 포장하는 형식, ODRL은 라이선스·이용 조건을 기계가 추론할 정책으로 표현한다.</w:t>
      </w:r>
    </w:p>
    <w:p>
      <w:pPr>
        <w:pStyle w:val="Heading1"/>
      </w:pPr>
      <w:r>
        <w:t xml:space="preserve">3. 7개 구성요소별 상세 분석</w:t>
      </w:r>
    </w:p>
    <w:p>
      <w:pPr>
        <w:spacing w:after="140" w:line="300"/>
      </w:pPr>
      <w:r>
        <w:t xml:space="preserve">각 구성요소마다 ‘현재 상태(이 표준의 실제 요소를 들어) → 무엇이 부족한가 → 어떻게 바꾸나’ 순서로 분석한다. 필요한 곳에는 전환 예시(JSON-LD·PROV-O 등)를 덧붙인다.</w:t>
      </w:r>
    </w:p>
    <w:p>
      <w:pPr>
        <w:pStyle w:val="Heading2"/>
      </w:pPr>
      <w:r>
        <w:t xml:space="preserve">3.1 시맨틱 (2 · 충족)</w:t>
      </w:r>
    </w:p>
    <w:p>
      <w:pPr>
        <w:spacing w:after="140" w:line="300"/>
      </w:pPr>
      <w:r>
        <w:t xml:space="preserve">시맨틱 — 부록 I이 bdc 네임스페이스(itu.int/.../Y.3603/bigdatacatalogue#)와 DCAT·Dublin Core·OWL을 사용하고, 부록 II taxonomyDomain이 DBpedia IRI로 분류값을 연결하여 핵심 개념이 전역 어휘에 바인딩된 상태다.</w:t>
      </w:r>
    </w:p>
    <w:p>
      <w:pPr>
        <w:spacing w:after="140" w:line="300"/>
      </w:pPr>
      <w:r>
        <w:t xml:space="preserve">taxonomy·domain 값을 DBpedia 외에 SKOS 개념체계로 일반화하고, dc:/dcat: 매핑표를 본문에 명문화하여 어휘 바인딩을 규범화한다.</w:t>
      </w:r>
    </w:p>
    <w:p>
      <w:pPr>
        <w:pStyle w:val="Heading2"/>
      </w:pPr>
      <w:r>
        <w:t>3.2 데이터 모델 (2 · 충족)</w:t>
      </w:r>
    </w:p>
    <w:p>
      <w:pPr>
        <w:spacing w:after="140" w:line="300"/>
      </w:pPr>
      <w:r>
        <w:t>RDF 프로파일로 값 타입(int·unsignedLong)·카디널리티를 형식 정의한다.</w:t>
      </w:r>
    </w:p>
    <w:p>
      <w:pPr>
        <w:spacing w:after="140" w:line="300"/>
      </w:pPr>
      <w:r>
        <w:t>본문 데이터사전↔RDF 프로파일의 타입·요소명을 일치시킨다(검토 참조).</w:t>
      </w:r>
    </w:p>
    <w:p>
      <w:pPr>
        <w:pStyle w:val="Heading2"/>
      </w:pPr>
      <w:r>
        <w:t xml:space="preserve">3.3 신태틱 (2 · 충족)</w:t>
      </w:r>
    </w:p>
    <w:p>
      <w:pPr>
        <w:spacing w:after="140" w:line="300"/>
      </w:pPr>
      <w:r>
        <w:t xml:space="preserve">신태틱 — 부록 I이 RDF/XML·Turtle·JSON-LD 세 규범 직렬화를, 부록 II가 각 형식 인스턴스를 제공하여 직렬화가 규범적으로 정의된다.</w:t>
      </w:r>
    </w:p>
    <w:p>
      <w:pPr>
        <w:spacing w:after="140" w:line="300"/>
      </w:pPr>
      <w:r>
        <w:t xml:space="preserve">@context를 외부 공개 IRI로 호스팅하고 JSON-LD 프레임/SHACL 검증을 동반하여 기계 가독 직렬화의 상호운용을 확정한다.</w:t>
      </w:r>
    </w:p>
    <w:p>
      <w:pPr>
        <w:pStyle w:val="Heading2"/>
      </w:pPr>
      <w:r>
        <w:t>3.4 운영 시맨틱 (비해당 · N/A)</w:t>
      </w:r>
    </w:p>
    <w:p>
      <w:pPr>
        <w:spacing w:after="140" w:line="300"/>
      </w:pPr>
      <w:r>
        <w:t>이 표준은 빅데이터 데이터 카탈로그 메타데이터를 기술할 뿐 AI/ML 학습·검증 사용 방식(split·feature/label)을 정의하는 표준이 아니므로 운영 시맨틱은 비해당(N/A)이다.</w:t>
      </w:r>
    </w:p>
    <w:p>
      <w:pPr>
        <w:spacing w:after="140" w:line="300"/>
      </w:pPr>
      <w:r>
        <w:t>해당 데이터를 ML에 사용할 경우, 원본 표준이 아니라 Croissant 포장 계층에서 split·역할을 선언한다(관심사 분리).</w:t>
      </w:r>
    </w:p>
    <w:p>
      <w:pPr>
        <w:pStyle w:val="Heading2"/>
      </w:pPr>
      <w:r>
        <w:t xml:space="preserve">3.5 출처/계보 (1 · 부분)</w:t>
      </w:r>
    </w:p>
    <w:p>
      <w:pPr>
        <w:spacing w:after="140" w:line="300"/>
      </w:pPr>
      <w:r>
        <w:t xml:space="preserve">출처/계보 — responsibleParty·contactPoint·sourceDomain과 BDC_Record(modifiedDate·issuedDate, dct:W3CDTF/X.680)로 일부 출처 필드가 있고 제6.2절이 Y.3602 provenance를 언급하나 계보가 형식화되지 않는다.</w:t>
      </w:r>
    </w:p>
    <w:p>
      <w:pPr>
        <w:spacing w:after="140" w:line="300"/>
      </w:pPr>
      <w:r>
        <w:t xml:space="preserve">생성·가공 이력을 PROV-O(prov:Entity/Activity/Agent, wasDerivedFrom)로 형식화하고 responsibleParty를 prov:Agent에 매핑하여 계보를 그래프로 표현한다.</w:t>
      </w:r>
    </w:p>
    <w:p>
      <w:pPr>
        <w:pStyle w:val="Heading2"/>
      </w:pPr>
      <w:r>
        <w:t xml:space="preserve">3.6 품질 프로파일 (1 · 부분)</w:t>
      </w:r>
    </w:p>
    <w:p>
      <w:pPr>
        <w:spacing w:after="140" w:line="300"/>
      </w:pPr>
      <w:r>
        <w:t xml:space="preserve">품질 프로파일 — BDC_DataQuality(qualityRequirement·unitOfMeasure·qualityResult)가 품질을 일부 표기하나 모두 free text다.</w:t>
      </w:r>
    </w:p>
    <w:p>
      <w:pPr>
        <w:spacing w:after="140" w:line="300"/>
      </w:pPr>
      <w:r>
        <w:t xml:space="preserve">DQV(dqv:QualityMeasurement·dqv:Metric·dqv:value)로 품질지표를 형식화하고 평가 단위를 QUDT/UCUM과 연계해 품질 신호를 기계 판독 가능하게 한다.</w:t>
      </w:r>
    </w:p>
    <w:p>
      <w:pPr>
        <w:pStyle w:val="Heading2"/>
      </w:pPr>
      <w:r>
        <w:t xml:space="preserve">3.7 접근/사용 제약 (2 · 충족)</w:t>
      </w:r>
    </w:p>
    <w:p>
      <w:pPr>
        <w:spacing w:after="140" w:line="300"/>
      </w:pPr>
      <w:r>
        <w:t xml:space="preserve">접근/사용 제약 — BDC_DataRight(rightStatement 자유문·license URI)가 Distribution/DataService에 dataRight·serviceRight로 연결되고 인스턴스가 license를 IRI로 바인딩하여 데이터 수준 권리를 명시한다.</w:t>
      </w:r>
    </w:p>
    <w:p>
      <w:pPr>
        <w:spacing w:after="140" w:line="300"/>
      </w:pPr>
      <w:r>
        <w:t xml:space="preserve">license를 DCAT(dcat:Distribution)·ODRL 정책(odrl:Policy/Permission/Prohibition)으로 형식화하여 사용 제약을 기계 집행 가능한 정책으로 전환한다.</w:t>
      </w:r>
    </w:p>
    <w:p>
      <w:pPr>
        <w:pStyle w:val="Heading1"/>
      </w:pPr>
      <w:r>
        <w:t xml:space="preserve">4. 권고하는 전환 방식</w:t>
      </w:r>
    </w:p>
    <w:p>
      <w:pPr>
        <w:spacing w:after="140" w:line="300"/>
      </w:pPr>
      <w:r>
        <w:t xml:space="preserve">권고 전환은 다음 순서로 한다. 1) 부록 I이 준용하는 W3C DCAT·Dublin Core·OWL을 제2장 인용표준(또는 규범 어휘목록)으로 승격하고 본문↔프로파일 요소명·byteSize 타입을 정합화한다. 2) DCAT v3 정렬과 SHACL 제약으로 데이터모델·신태틱을 검증 가능하게 강화한다. 3) unitOfMeasure를 QUDT/UCUM에 결합해 운영 시맨틱을 확보한다. 4) PROV-O로 계보를, DQV로 품질을 형식화한다. 5) license를 ODRL 정책으로 확장해 접근/사용 제약을 기계 집행 가능하게 한다.</w:t>
      </w:r>
    </w:p>
    <w:p>
      <w:pPr>
        <w:pStyle w:val="Heading1"/>
      </w:pPr>
      <w:r>
        <w:t xml:space="preserve">5. 요약 로드맵</w:t>
      </w:r>
    </w:p>
    <w:p>
      <w:pPr>
        <w:spacing w:after="140" w:line="300"/>
      </w:pPr>
      <w:r>
        <w:t xml:space="preserve">7개 구성요소별 연결 표준·핵심 조치·현재 등급을 정리하면 다음과 같다.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/>
      </w:tblPr>
      <w:tblGrid>
        <w:gridCol w:w="1700"/>
        <w:gridCol w:w="2300"/>
        <w:gridCol w:w="3526"/>
        <w:gridCol w:w="1500"/>
      </w:tblGrid>
      <w:tr>
        <w:trPr>
          <w:tblHeader/>
        </w:trPr>
        <w:tc>
          <w:tcPr>
            <w:tcW w:type="dxa" w:w="17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구성요소</w:t>
            </w:r>
          </w:p>
        </w:tc>
        <w:tc>
          <w:tcPr>
            <w:tcW w:type="dxa" w:w="23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연결 표준</w:t>
            </w:r>
          </w:p>
        </w:tc>
        <w:tc>
          <w:tcPr>
            <w:tcW w:type="dxa" w:w="3526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핵심 조치</w:t>
            </w:r>
          </w:p>
        </w:tc>
        <w:tc>
          <w:tcPr>
            <w:tcW w:type="dxa" w:w="15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현재 등급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시맨틱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DCAT v3·Dublin Core(DC/DCTERMS)·SKOS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의미·상하/포함 관계를 어휘 IRI에 바인딩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2 · 충족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데이터 모델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XSD·SHACL·JSON Schema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값 유형·제약·반복을 스키마로 형식화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2 · 충족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신태틱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JSON-LD·RDF/Turtle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@context를 외부 공개 IRI로 호스팅하고 JSON-LD 프레임/SHACL 검증을 동반하…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2 · 충족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운영 시맨틱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Croissant 1.0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비해당 — ML 사용 시 Croissant 포장 계층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비해당 · N/A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출처/계보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PROV-O·DCTERMS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생성·가공 이력을 PROV-O(prov:Entity/Activity/Agent, wasDeri…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1 · 부분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품질 프로파일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DQV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DQV(dqv:QualityMeasurement·dqv:Metric·dqv:value)로 품질…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1 · 부분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접근/사용 제약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DCAT·ODRL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license를 DCAT(dcat:Distribution)·ODRL 정책(odrl:Policy…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2 · 충족</w:t>
            </w:r>
          </w:p>
        </w:tc>
      </w:tr>
    </w:tbl>
    <w:p>
      <w:pPr>
        <w:pStyle w:val="Heading1"/>
      </w:pPr>
      <w:r>
        <w:t xml:space="preserve">6. 맺음말</w:t>
      </w:r>
    </w:p>
    <w:p>
      <w:pPr>
        <w:spacing w:after="140" w:line="300"/>
      </w:pPr>
      <w:r>
        <w:t xml:space="preserve">본 표준은 UML 개념모델과 RDF/Turtle/JSON-LD 규범 직렬화, DCAT·Dublin Core·DBpedia IRI 바인딩을 이미 갖춰 시맨틱·데이터모델·신태틱 세 전환축에서 높은 성숙도를 보이는 모범적 카탈로그 표준이다. 외부 준용 어휘의 인용표준 승격과 본문↔프로파일 표기 정합을 보완하고, 운영 시맨틱(QUDT/UCUM)·계보(PROV-O)·품질(DQV)·사용제약(ODRL)을 표준 어휘에 결합하면 완성도 높은 AI-Ready 데이터 카탈로그 표준으로 발전할 수 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2026-06-22T06:18:39.219Z</dcterms:created>
  <dcterms:modified xsi:type="dcterms:W3CDTF">2026-06-22T06:18:39.219Z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