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빅데이터 – 데이터 카탈로그를 위한 메타데이터 요구사항 및 개념모델 (Big data – Requirements and Conceptual Model of Metadata for Data Catalogue)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TTAE.IT-Y.3603 (제정일 2023.12.06.) · PG1004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검토는 TTAE.IT-Y.3603(빅데이터 데이터 카탈로그 메타데이터 요구사항 및 개념모델)을 표지·서문(인용표준 비교표)·본문 제1~8장·부록 I(RDF/Turtle/JSON-LD 프로파일)·부록 II(인스턴스 예제)·부록 III(연계·참고문헌·이력)까지 정밀 검토한 결과다. 본 표준은 ITU-T Y.3603(2023)을 영문 그대로 수용·준용한 영문표준으로, 데이터 카탈로그 메타데이터의 요구사항(제7장)과 UML 개념모델(제8장, 그림 8-1, 표 8-1~8-7) 및 RDF/Turtle/JSON-LD 직렬화를 함께 제공하는 개념모델형 표준이다.</w:t>
      </w:r>
    </w:p>
    <w:p>
      <w:pPr>
        <w:spacing w:after="140" w:line="300"/>
      </w:pPr>
      <w:r>
        <w:t xml:space="preserve">결함은 A축 7유형 중 4건이 Y(데이터 타입 정의 오류, 인용/준용표준 분류 오류, 오타·표기 불일치, 내부 일관성), 1건이 N(코드/enum 통과), 2건이 N/N·A(단위 N/A, 기타 N)로 분포한다. Y는 해당 결함이 확인된 항목, N은 검사 대상이 있으나 통과한 항목, N/A는 유형 자체가 비해당인 항목을 뜻한다. 결함은 대부분 본문 데이터사전과 직렬화 프로파일 사이의 표기·타입 불일치에 집중된다.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제8장 / 표 8-3(40~42행) ↔ 부록 I.1·I.2 dcat:byteSize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byteSize의 데이터 타입이 표 8-3에서는 'int'로 표기되나 부록 I RDF/Turtle 프로파일의 dcat:byteSize는 rdfs:range를 xsd:unsignedLong으로 지정하여(부록 II 인스턴스도 ^^xsd:unsignedLong) 본문 데이터사전과 직렬화 스키마의 타입 정의가 불일치한다.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8-3의 byteSize Domain을 직렬화 프로파일과 동일하게 정수 무부호형(xsd:unsignedLong)으로 통일하여 본문과 스키마 타입을 일치시킨다.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제2장 인용표준 / 부록 I·참고문헌(Bibliography)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I 전체(RDF/Turtle/JSON-LD)가 W3C DCAT·Dublin Core(dc:/dct:)·OWL 어휘를 직접 준용하나, 제2장 인용표준에는 ITU-T 권고만 열거되고 이들 외부 표준은 [b-W3C DCAT]·[b-IETF RFC 5646]으로 참고문헌에만 두며 부록도 'does not form an integral part'로 표기되어 규범적 의존이 인용표준으로 분류되지 않는다.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DCAT·Dublin Core·OWL을 제2장 인용표준(또는 명시적 규범 어휘목록)으로 승격하고 부록 프로파일의 규범적 지위를 명문화한다.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제8장 표 8-2·8-3·8-5·8-6 ↔ 부록 I RDF 프로파일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본문 데이터사전과 직렬화 요소명이 다수 불일치한다. 표 8-2 organisationName↔bdc:organizationName, 표 8-5 unitOfMeausre(오타)↔bdc:unitOfMeasure, 표 8-5 qualityRequirement↔bdc:qualityRequirements, 표 8-3 rightStatement↔rightsStatement이며, 표 8-6 'most resent'(→recent)·부록 II 'Particular Matter'(→Particulate) 오타가 반복된다.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데이터사전의 요소명·철자·단복수를 RDF 프로파일과 1:1로 정합화하고 'resent','Particular Matter' 등 오탈자를 정정한다.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4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제8장 8.2.6(표 8-6·8-7) / 부록 II 도입부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절 번호 '8.2.6'이 BDC_Record(표 8-6)와 BDC_DataTypeCode(표 8-7)에 중복 부여되고, 표 8-6 modifiedDate는 'most recent modified date'(단일 의도)인데 Cardinality가 N으로 표기되어 충돌하며, 부록 II 도입부는 healthcare/'Health Insurance' 예라 했으나 실제 인스턴스는 대기질(airCatalog/pmSet/ozoneSet)이다.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중복 절 번호를 8.2.6/8.2.7로 분리하고 modifiedDate 카디널리티를 단일(1)로 정정하며 부록 II 도입부 설명을 실제 예제(대기질)와 일치시킨다.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</w:tbl>
    <w:p>
      <w:pPr>
        <w:pStyle w:val="Heading2"/>
      </w:pPr>
      <w:r>
        <w:t xml:space="preserve">2.1 byteSize 데이터 타입 정의 불일치 (심각도 낮음)</w:t>
      </w:r>
    </w:p>
    <w:p>
      <w:pPr>
        <w:spacing w:after="140" w:line="300"/>
      </w:pPr>
      <w:r>
        <w:t xml:space="preserve">표 8-3(40~42행)은 byteSize의 Domain을 'int'로 표기한다. 그러나 부록 I.1 RDF 프로파일과 I.2 Turtle 프로파일의 dcat:byteSize는 rdfs:range를 xsd:unsignedLong으로 지정하고, 부록 II 인스턴스도 "12000000"^^xsd:unsignedLong을 사용한다. 본문 데이터사전(int)과 규범 직렬화(xsd:unsignedLong)의 타입 표기가 어긋나 구현 시 혼동을 유발한다. 규칙 기반 자동검사가 가능한 결함이다.</w:t>
      </w:r>
    </w:p>
    <w:p>
      <w:pPr>
        <w:pStyle w:val="Heading2"/>
      </w:pPr>
      <w:r>
        <w:t xml:space="preserve">2.2 규범 준용 어휘(DCAT·Dublin Core·OWL)의 인용표준 미분류 (심각도 중간)</w:t>
      </w:r>
    </w:p>
    <w:p>
      <w:pPr>
        <w:spacing w:after="140" w:line="300"/>
      </w:pPr>
      <w:r>
        <w:t xml:space="preserve">제2장 References는 ITU-T X.680·Y.3600·Y.3601·Y.3602·Z.109만 규범 인용으로 둔다. 반면 부록 I 전체가 W3C DCAT(dcat:byteSize), Dublin Core(dc:/dct:: title·description·format·keyword·language, RFC5646, W3CDTF), OWL의 네임스페이스·어휘를 직접 차용하여 프로파일을 정의한다. 이들 외부 표준은 [b-W3C DCAT]·[b-IETF RFC 5646]으로 참고문헌(Bibliography)에만 들어가 있고 부록도 'does not form an integral part'로 정보성 표기되어, 사실상의 규범적 의존이 인용표준으로 분류되지 않는다. AI-Ready 관점에서 외부 어휘 의존이 핵심 자산이므로 분류 보정이 필요하다.</w:t>
      </w:r>
    </w:p>
    <w:p>
      <w:pPr>
        <w:pStyle w:val="Heading2"/>
      </w:pPr>
      <w:r>
        <w:t xml:space="preserve">2.3 본문 데이터사전과 RDF 프로파일 간 요소명·오타 불일치 (심각도 중간)</w:t>
      </w:r>
    </w:p>
    <w:p>
      <w:pPr>
        <w:spacing w:after="140" w:line="300"/>
      </w:pPr>
      <w:r>
        <w:t xml:space="preserve">요소명 표기가 다수 어긋난다. 표 8-2(15행) organisationName↔부록 I bdc:organizationName, 표 8-5(57행) unitOfMeausre(오타)↔bdc:unitOfMeasure, 표 8-5(56행) qualityRequirement↔bdc:qualityRequirements, 표 8-3 rightStatement↔rightsStatement가 단·복수/철자에서 불일치한다. 또 표 8-6 설명의 'the most resent modified date'(resent→recent), 부록 II의 'Particular Matter'(Particulate Matter 오역)가 반복된다. 직렬화 자동 검증·코드 생성 시 매핑 오류로 직결된다.</w:t>
      </w:r>
    </w:p>
    <w:p>
      <w:pPr>
        <w:pStyle w:val="Heading2"/>
      </w:pPr>
      <w:r>
        <w:t xml:space="preserve">2.4 절 번호 중복 및 카디널리티·예제 설명 불일치 (심각도 낮음)</w:t>
      </w:r>
    </w:p>
    <w:p>
      <w:pPr>
        <w:spacing w:after="140" w:line="300"/>
      </w:pPr>
      <w:r>
        <w:t xml:space="preserve">절 번호 '8.2.6'이 BDC_Record(표 8-6)와 'Data type: BDC_DataTypeCode'(표 8-7)에 중복 부여된다. 표 8-6 modifiedDate는 'the most recent modified date'로 단일값 의도이나 Cardinality가 N으로 표기되어 필수단일 의미와 충돌한다. 부록 II 도입부는 healthcare/'Health Insurance' 데이터 예라고 기술하나 실제 인스턴스는 대기질(airCatalog/pmSet/ozoneSet)로 본문 설명과 예제가 어긋난다.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단위 표기 모호성</w:t>
      </w:r>
      <w:r>
        <w:t xml:space="preserve"> — (N/A · 비해당) 표 8-5 unitOfMeausre는 측정 단위 규범이 아니라 free text 메타필드(인스턴스 'percent')로, 단위 표기 체계를 규정하는 표준이 아니다.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코드/enum 정의 오류</w:t>
      </w:r>
      <w:r>
        <w:t xml:space="preserve"> — (N · 통과) 표 8-7 BDC_DataTypeCode enum(STRUCTURED 001/SEMI_STRUCTURED 002/UNSTRUCTURED 003)이 부록 I RDF/Turtle 정의·설명과 일치한다.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규약(제5장)·UML(Z.109)·M/R/O 표기 등에서 위 4유형 외의 별도 결함은 확인되지 않는다.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우선순위는 (1) 규범 준용 어휘(DCAT·Dublin Core·OWL)의 인용표준 분류 보정(2.2)을 가장 먼저 처리한다. 이는 표준의 규범적 의존 구조를 바로잡고 AI-Ready 상호운용의 근거가 되기 때문이다. 다음으로 (2) 본문 데이터사전↔프로파일 요소명·오타 정합화(2.3)와 byteSize 타입 통일(2.1)을 묶어 자동 코드생성·검증 신뢰성을 확보하고, 마지막으로 (3) 절 번호 중복·카디널리티·예제 설명 불일치(2.4)를 편집 차원에서 정정한다. 다만 본 표준은 ITU-T 원문을 그대로 수용한 영문표준이므로, 2.1~2.4의 다수는 원 권고 차원의 정오표/차기 개정 반영 사항으로 상위 표준화기구와 연계 처리한다.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