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데이터맵 어휘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데이터맵 – 제1부: 데이터맵 어휘 (Datamap – Part 1: Datamap Vocabulary)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TTAK.KO-10.1291-Part1 (제정 2021.06.30.) · PG1004</w:t>
      </w:r>
    </w:p>
    <w:p>
      <w:pPr>
        <w:spacing w:after="240"/>
        <w:jc w:val="center"/>
      </w:pPr>
      <w:r>
        <w:t>7개 구성요소 프레임워크 기반 상세 분석 · 성숙도 8/12 ≈ 67%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표준은 데이터 포털·허브·플랫폼 같은 데이터 서비스 수준의 메타데이터와 그 관계를 의미 수준에서 표현하기 위한 RDF·OWL2 온톨로지(데이터맵 어휘)다. 핵심 클래스 dm:Datamap을 중심으로 dm:DatamapStat·dm:CatalogStat·dm:Column과 다수의 속성을 정의하고, 부속서 A에 RDF/XML 명세를, 부록 Ⅲ에 SPARQL 적용 사례를 제공한다.</w:t>
      </w:r>
    </w:p>
    <w:p>
      <w:pPr>
        <w:spacing w:after="140" w:line="300"/>
      </w:pPr>
      <w:r>
        <w:t xml:space="preserve">AI-Ready 관점에서 이 표준은 보정표 상단의 1594(11/14)에 근접한 위치다. 모든 구성요소가 전역 IRI에 바인딩되고(시맨틱2), OWL2 그래프로 형식화되며(데이터모델2), 규범 RDF/XML 직렬화를 제공(신태틱2)한다. 산문·표 중심에 머무는 다수 TTA 표준(1595·1530)과 달리 전환 출발점이 매우 양호하다.</w:t>
      </w:r>
    </w:p>
    <w:p>
      <w:pPr>
        <w:spacing w:after="140" w:line="300"/>
      </w:pPr>
      <w:r>
        <w:t xml:space="preserve">핵심 진단은 '형식 성숙도는 높으나 운영·출처·품질·제약 차원이 산문/문서 수준에 머문다'는 점이다. 단위는 주석뿐(운영시맨틱1), 출처는 온톨로지 헤더 필드뿐(출처1), 품질은 dm:quality 자리표시(품질1), 데이터 수준 라이선스·접근권은 부재(접근0)다. 전환 경로는 이들 후반 4개 차원을 표준 어휘(QUDT/UCUM·PROV-O·DQV·DCAT/ODRL)에 결합하는 것이다.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(2 · 충족)</w:t>
      </w:r>
    </w:p>
    <w:p>
      <w:pPr>
        <w:spacing w:after="140" w:line="300"/>
      </w:pPr>
      <w:r>
        <w:t xml:space="preserve">3.1 현재 — 6절 네임스페이스와 8.3에 따라 dm:Datamap·dm:Column 등 모든 개념이 IRI로 식별되고 dm:Column⊑skos:Concept, dm:category→skos:ConceptScheme로 SKOS에 결합되어 시맨틱 성숙도가 이미 높다.</w:t>
      </w:r>
    </w:p>
    <w:p>
      <w:pPr>
        <w:spacing w:after="140" w:line="300"/>
      </w:pPr>
      <w:r>
        <w:t xml:space="preserve">변경 — 분류항목·태그 등 로컬 어휘를 SKOS skos:Concept/relatedMatch(부록 Ⅲ.2에서 이미 사용)로 일관 노출하고, 외부 전역 어휘(DCAT theme, schema.org)와의 매핑을 명세에 고정해 의미 결합을 완성한다.</w:t>
      </w:r>
    </w:p>
    <w:p>
      <w:pPr>
        <w:pStyle w:val="Heading2"/>
      </w:pPr>
      <w:r>
        <w:t>3.2 데이터 모델 (2 · 충족)</w:t>
      </w:r>
    </w:p>
    <w:p>
      <w:pPr>
        <w:spacing w:after="140" w:line="300"/>
      </w:pPr>
      <w:r>
        <w:t>OWL2로 속성 레인지(xsd:int·boolean·nonNegativeInteger)·domain/range를 형식 정의한다(본문↔부속서 타입 불일치는 검토 참조).</w:t>
      </w:r>
    </w:p>
    <w:p>
      <w:pPr>
        <w:spacing w:after="140" w:line="300"/>
      </w:pPr>
      <w:r>
        <w:t>본문·부속서 타입을 일치시키고 SHACL로 제약을 보강한다.</w:t>
      </w:r>
    </w:p>
    <w:p>
      <w:pPr>
        <w:pStyle w:val="Heading2"/>
      </w:pPr>
      <w:r>
        <w:t xml:space="preserve">3.3 신태틱 (2 · 충족)</w:t>
      </w:r>
    </w:p>
    <w:p>
      <w:pPr>
        <w:spacing w:after="140" w:line="300"/>
      </w:pPr>
      <w:r>
        <w:t xml:space="preserve">3.3 현재 — 부속서 A가 RDF/XML 직렬화를 규범으로 제공하고 부록 Ⅲ가 SPARQL 질의를 함께 둔다.</w:t>
      </w:r>
    </w:p>
    <w:p>
      <w:pPr>
        <w:spacing w:after="140" w:line="300"/>
      </w:pPr>
      <w:r>
        <w:t xml:space="preserve">변경 — RDF/XML에 더해 JSON-LD @context를 표준에 추가 제공해 웹·API 친화적 직렬화를 보장하고, 직렬화 예시를 부속서 A와 일치시킨다.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데이터맵 어휘를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3.5 현재 — 부속서 A 온톨로지 헤더에 dcterms:creator·issued·modified·versionInfo 등 일부 출처 필드만 있고 인스턴스 계보는 없다.</w:t>
      </w:r>
    </w:p>
    <w:p>
      <w:pPr>
        <w:spacing w:after="140" w:line="300"/>
      </w:pPr>
      <w:r>
        <w:t xml:space="preserve">변경 — 데이터맵·통계 인스턴스에 PROV-O(prov:wasDerivedFrom·generatedAtTime)를 결합해 하베스팅·통합 계보(harvestingStatus가 가리키는 출처)를 형식화한다.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t xml:space="preserve">3.6 현재 — dm:quality(표 8-29) 속성이 품질 자리표시로 존재하나 공역이 rdfs:Resource이고 측정 차원·메트릭이 없다.</w:t>
      </w:r>
    </w:p>
    <w:p>
      <w:pPr>
        <w:spacing w:after="140" w:line="300"/>
      </w:pPr>
      <w:r>
        <w:t xml:space="preserve">변경 — dm:quality를 DQV(dqv:QualityMeasurement·dqv:Dimension)로 대체·연계해 측정 점수·차원을 기계 판독 가능하게 형식화한다.</w:t>
      </w:r>
    </w:p>
    <w:p>
      <w:pPr>
        <w:pStyle w:val="Heading2"/>
      </w:pPr>
      <w:r>
        <w:t xml:space="preserve">3.7 접근/사용 제약 (0 · 미충족)</w:t>
      </w:r>
    </w:p>
    <w:p>
      <w:pPr>
        <w:spacing w:after="140" w:line="300"/>
      </w:pPr>
      <w:r>
        <w:t xml:space="preserve">3.7 현재 — 데이터 수준 라이선스·접근권 메타데이터가 없고 endpointURL은 접근 위치만 표현한다(표지 저작권 고지만 존재).</w:t>
      </w:r>
    </w:p>
    <w:p>
      <w:pPr>
        <w:spacing w:after="140" w:line="300"/>
      </w:pPr>
      <w:r>
        <w:t xml:space="preserve">변경 — DCAT v3(dcat:Distribution, dct:license, dcat:accessURL)와 ODRL 정책을 결합해 데이터세트·서비스 수준의 라이선스·접근 제약을 명시한다.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순서는 (1) 인용표준 정정 및 본문↔부속서 A 정합화(타입·정의역·절번호·표제)로 정본 신뢰성을 확보하고, (2) JSON-LD @context를 추가해 직렬화 접근성을 높이며, (3) 단위(QUDT/UCUM)·계보(PROV-O)·품질(DQV)·접근제약(DCAT v3/ODRL)을 차례로 결합해 후반 4개 차원을 산문에서 형식 어휘로 끌어올리는 것이다.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SKOS·DCAT·schema.org·DC Terms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 · 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2 · 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RDF/XML·JSON-LD(추가 권장)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변경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 · 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PROV-O·DC Terms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변경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변경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 v3·ODRL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변경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데이터맵 어휘는 IRI 바인딩·OWL2 그래프·규범 RDF 직렬화를 이미 갖춘, TTA 어휘형 표준 중 AI-Ready 출발점이 가장 우수한 사례다. 본문과 규범 부속서의 정합성을 정리하고 운영·출처·품질·제약 차원을 표준 어휘로 보강하면, 데이터 서비스 메타데이터의 기계 상호운용을 위한 모범 어휘로 기능할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