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NFT 저작권정보 확인 명세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대체 불가능 토큰(NFT)의 디지털 콘텐츠 저작권 정보 확인 명세 (Specifications for Confirming Copyright Information of NFT Digital Contents)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TTAK.KO-10.1500 (제정 2023.12.06.) · PG1006</w:t>
      </w:r>
    </w:p>
    <w:p>
      <w:pPr>
        <w:spacing w:after="240"/>
        <w:jc w:val="center"/>
      </w:pPr>
      <w:r>
        <w:t>7개 구성요소 프레임워크 기반 상세 분석 · 성숙도 4/12 ≈ 33%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본 표준은 NFT로 발행·유통되는 디지털 콘텐츠의 저작권 권리정보를 시장 참여자(발행자·판매자·구매자·거래소)가 상호 확인할 수 있도록, 저작인격권(성명표시권·동일성유지권)·저작재산권(rightType 7종)·권리자 지분(holderRatio)·준거법(jurisdiction)·면책(disclaimer) 등을 표기하는 메타데이터 명세다. 6절 &lt;표 6-1&gt;과 부록 II &lt;표 II-1&gt;이 필드를, 부록 III가 JSON Schema(draft-04)와 예시를 제공한다.</w:t>
      </w:r>
    </w:p>
    <w:p>
      <w:pPr>
        <w:spacing w:after="140" w:line="300"/>
      </w:pPr>
      <w:r>
        <w:t>AI-Ready 관점의 출발점을 진단하면, 이 표준은 데이터셋 메타데이터가 아니라 저작권 확인 서비스 명세인 대조군이다. 보정표 대비 위치는 1595(5/14)에 근접한 수준으로, maturity_sum 4/12에 해당한다. 특기할 점은 접근/사용 제약 축이 1점으로, 이는 표준이 본질적으로 저작권·라이선스 정보를 다루는 데서 비롯한 것이지 데이터셋 단위의 권리 메타데이터 준비도(DCAT/ODRL 바인딩)를 갖춰서가 아니다. 운영 시맨틱·품질 프로파일은 0으로, 데이터셋 메타데이터 축에는 AI-Ready 잣대가 잘 맞지 않는다.</w:t>
      </w:r>
    </w:p>
    <w:p>
      <w:pPr>
        <w:spacing w:after="140" w:line="300"/>
      </w:pPr>
      <w:r>
        <w:t xml:space="preserve">핵심 진단은 '내용은 권리 도메인에 충실하나 형식이 미성숙'이다. 시맨틱 0(IRI 미바인딩)·신태틱 1(JSON Schema 있으나 오류)에 머물며, 세 산출물의 필드명·타입·단위 불일치가 기계 가독성을 막는다. 전환 경로는 (i) 단일 정규 스키마 확정, (ii) 권리 어휘를 ODRL/CCL IRI에 바인딩, (iii) JSON-LD @context 도입의 순으로 잡는다.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t xml:space="preserve">3.x(시맨틱) 현재 — rightType 값(reproduction·publicTransmission 등 7종), jurisdiction('Korea Copyright Law'), copyrightIDType(UCI·ISBN 등)이 모두 로컬 영문 문자열로만 정의되고 전역 어휘 IRI에 연결되지 않는다.</w:t>
      </w:r>
    </w:p>
    <w:p>
      <w:pPr>
        <w:spacing w:after="140" w:line="300"/>
      </w:pPr>
      <w:r>
        <w:t xml:space="preserve">바꾸는 법 — 저작재산권 7종을 한국 저작권법 조문 또는 CCL/ODRL action IRI에 매핑한 SKOS 개념 코드표를 만들고, copyrightIDType의 UCI·ISBN·DOI 등을 해당 식별체계 URI로 바인딩한다(예: rightType 'reproduction'→odrl:reproduce).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부록 III JSON 스키마로 저작권 필드 타입을 정의하나 표↔스키마 불일치가 있다(검토 참조).</w:t>
      </w:r>
    </w:p>
    <w:p>
      <w:pPr>
        <w:spacing w:after="140" w:line="300"/>
      </w:pPr>
      <w:r>
        <w:t>스키마를 정합화하고 SHACL로 값 제약을 보강한다.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t xml:space="preserve">3.x(신태틱) 현재 — 부록 III가 json-schema draft-04 직렬화와 JSON 예시를 제공하나, required 배열 trailing comma와 imageURIs/compositeWorks 등 예시-스키마 필드명 불일치로 비유효하다.</w:t>
      </w:r>
    </w:p>
    <w:p>
      <w:pPr>
        <w:spacing w:after="140" w:line="300"/>
      </w:pPr>
      <w:r>
        <w:t xml:space="preserve">바꾸는 법 — 단일 정규 JSON Schema(권장 draft 2020-12)로 정정하고 trailing comma 제거·필드명 통일·createdDate format:date를 부여한 뒤, JSON-LD @context를 추가해 RDF로도 직렬화되게 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NFT 디지털콘텐츠 저작권 정보 확인 명세를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3.x(출처/계보) 현재 — authorsNames·createdDate·publishDate·notaryNames(제3자 검증 기관) 등 일부 출처 필드가 있으나 생성·검증 행위가 형식화되지 않는다.</w:t>
      </w:r>
    </w:p>
    <w:p>
      <w:pPr>
        <w:spacing w:after="140" w:line="300"/>
      </w:pPr>
      <w:r>
        <w:t xml:space="preserve">바꾸는 법 — 발행(Minting)·검증(notary) 과정을 PROV-O(prov:Activity·prov:Agent·prov:wasGeneratedBy)로 모델링해 누가 언제 무엇을 생성·검증했는지 계보로 표현한다.</w:t>
      </w:r>
    </w:p>
    <w:p>
      <w:pPr>
        <w:pStyle w:val="Heading2"/>
      </w:pPr>
      <w:r>
        <w:t xml:space="preserve">3.6 품질 프로파일 (0 · 미충족)</w:t>
      </w:r>
    </w:p>
    <w:p>
      <w:pPr>
        <w:spacing w:after="140" w:line="300"/>
      </w:pPr>
      <w:r>
        <w:t xml:space="preserve">3.x(품질 프로파일) 현재 — 품질 측정 지표가 없고 notaryNames는 검증 주체명일 뿐 품질 점수가 아니다.</w:t>
      </w:r>
    </w:p>
    <w:p>
      <w:pPr>
        <w:spacing w:after="140" w:line="300"/>
      </w:pPr>
      <w:r>
        <w:t xml:space="preserve">바꾸는 법 — 제3자 검증 결과(검증 여부·검증 항목·검증일)를 DQV(dqv:QualityMeasurement·dqv:Metric) 프로파일로 표현해 메타데이터 신뢰성을 정량 신호로 노출한다.</w:t>
      </w:r>
    </w:p>
    <w:p>
      <w:pPr>
        <w:pStyle w:val="Heading2"/>
      </w:pPr>
      <w:r>
        <w:t xml:space="preserve">3.7 접근/사용 제약 (1 · 부분)</w:t>
      </w:r>
    </w:p>
    <w:p>
      <w:pPr>
        <w:spacing w:after="140" w:line="300"/>
      </w:pPr>
      <w:r>
        <w:t xml:space="preserve">3.x(접근/사용 제약) 현재 — jurisdiction·propertyRights/rightType·rightHolders·holderRatio·disclaimer·CCL 약어로 권리·라이선스를 콘텐츠 단위로 다루나 산문·로컬코드 수준이라 기계 가독 권리 모델에 미바인딩이다(현 1점).</w:t>
      </w:r>
    </w:p>
    <w:p>
      <w:pPr>
        <w:spacing w:after="140" w:line="300"/>
      </w:pPr>
      <w:r>
        <w:t xml:space="preserve">바꾸는 법 — 권리 표기를 ODRL Policy(Permission/Prohibition/Duty, action=odrl:reproduce 등)로 표현하고 CCL 라이선스를 표준 라이선스 URI로 연결하며, 데이터셋 수준 노출 시 DCAT v3 dcterms:license/odrl:hasPolicy로 게시해 2점으로 끌어올린다.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순서는 다음과 같다. 1) 부록 III JSON Schema의 구문 오류(required trailing comma)와 타입 오류(holderRatio: string→number, createdDate: format:date)를 즉시 시정한다. 2) 부록 II 표·부록 III 스키마·예시의 필드명을 단일 정규 키로 통일하고(imageURIs→contentURIs, compositeWorks→isCompositeWork, copyrightType→copyrightIDType) holderRatio 단위를 0~1로 확정한다. 3) 2장 인용 표준에 TTAK.KO-12.0336·TTAK.KO-07.0158을 명시하고 'TTAK.KO012.0336' 오타를 정정한다. 4) rightType·copyrightIDType enum을 SKOS 코드표로 만들고 ODRL/CCL IRI에 매핑한다. 5) JSON-LD @context와 PROV-O/DQV/ODRL 어휘를 도입해 의미 직렬화 경로를 연다.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schema.org·SKOS·Dublin Core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바꾸는 법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바꾸는 법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바꾸는 법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ODRL·DCAT v3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바꾸는 법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본 표준은 NFT 디지털 콘텐츠의 저작권 권리정보 표기라는 도메인 목표에 충실하며, 접근/사용 제약 측면을 본질적으로 다룬다는 점에서 데이터셋 메타데이터 표준들과 구별되는 대조군이다. 다만 그 1점은 표준이 저작권 명세인 데서 비롯한 것이지 데이터셋 단위 권리 메타데이터 준비도를 갖춰서가 아니며, 운영 시맨틱·품질 프로파일 등 데이터셋 축에는 AI-Ready 잣대가 잘 맞지 않는다. 세 산출물 간 필드명·타입·단위 불일치와 JSON 구문 오류를 정정하고 권리 어휘를 ODRL/CCL/SKOS IRI에 바인딩하면, 본 명세는 기계가 검증·집계 가능한 권리 메타데이터로 전환되어 NFT 시장의 저작권 신뢰성 확보에 실질적으로 기여한다.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