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color w:val="555555"/>
          <w:sz w:val="25"/>
          <w:szCs w:val="25"/>
        </w:rPr>
        <w:t xml:space="preserve">AI-Ready 메타데이터 관점에서 본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공간 데이터 모델 표준 분석 보고서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디지털 국토정보 플랫폼의 데이터 연계를 위한 공통 데이터 모델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TTAK.KO-10.1510 (제정 2024.12.06.) · PG409</w:t>
      </w:r>
    </w:p>
    <w:p>
      <w:pPr>
        <w:spacing w:after="260"/>
        <w:jc w:val="center"/>
      </w:pPr>
      <w:r>
        <w:t>7개 구성요소 프레임워크 기반 상세 분석 · 성숙도 5/12 ≈ 42% (운영 비해당)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문서는 표준 </w:t>
      </w:r>
      <w:r>
        <w:rPr>
          <w:b/>
          <w:bCs/>
        </w:rPr>
        <w:t xml:space="preserve">TTAK.KO-10.1510</w:t>
      </w:r>
      <w:r>
        <w:t xml:space="preserve">(디지털 국토정보 공통 데이터 모델)을 AI-Ready 관점에서 분석한 보고서다. 이 표준은 OGC CityGML 3.0과 KS X 6808-1:2022를 프로파일해 건물 중심의 2D·3D 국토정보를 연계하는 UML 데이터 모델이다.</w:t>
      </w:r>
    </w:p>
    <w:p>
      <w:pPr>
        <w:spacing w:after="140" w:line="300"/>
      </w:pPr>
      <w:r>
        <w:t>진단의 요지는 ‘모델은 견고하나 표현이 닫혀 있다’이다. 데이터 모델 자체는 ISO 19103 UML로 잘 정의됐지만(구성요소 ‘데이터 모델’은 충족), 그 의미·출처·품질·이용조건이 UML·표 안에 머물러 기계가 직접 읽기 어렵다. 성숙도는 5/12(약 42%, 운영 시맨틱 비해당)다. 공간 데이터 표준은 GeoSPARQL이라는 잘 정립된 RDF 경로가 있어 전환 방향이 분명하다.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>AI-Ready 전환은 기존 메타데이터의 세 측면을 ‘다시 표현’하고(전환 3종), 대체로 빠져 있던 네 측면을 ‘새로 추가’하는(신규 4종) 작업이다. 괄호 안 숫자는 0(미충족)·1(부분)·2(충족) 등급이며, 합계를 14(운영 비해당 시 12)로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0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한 줄 의미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신태틱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의미·구조를 적는 표준 직렬화 형식(JSON-LD·RDF 등)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운영 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출처/계보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누가·언제·어떤 과정으로 생성·가공됐는지 이력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품질 프로파일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정확도·결측·이상치 등 품질을 형식 어휘로 기술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접근/사용 제약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라이선스·접근 권한·이용 조건을 데이터에 결합</w:t>
            </w:r>
          </w:p>
        </w:tc>
      </w:tr>
    </w:tbl>
    <w:p>
      <w:pPr>
        <w:spacing w:after="80" w:line="300"/>
      </w:pPr>
    </w:p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 xml:space="preserve">AI-Ready 표현의 바탕에는 W3C의 </w:t>
      </w:r>
      <w:r>
        <w:rPr>
          <w:b/>
          <w:bCs/>
        </w:rPr>
        <w:t xml:space="preserve">RDF</w:t>
      </w:r>
      <w:r>
        <w:t xml:space="preserve"> 데이터 모델이 있다. RDF는 모든 사실을 ‘주어–서술어–목적어’ 트리플로 적고, 각 개념을 </w:t>
      </w:r>
      <w:r>
        <w:rPr>
          <w:b/>
          <w:bCs/>
        </w:rPr>
        <w:t xml:space="preserve">IRI</w:t>
      </w:r>
      <w:r>
        <w:t xml:space="preserve">(웹 주소 형태의 고유 이름)로 가리켜 누구나 같은 개념을 같은 주소로 참조하게 한다. 이를 파일로 적는 형식이 직렬화인데, 기존 JSON에 의미를 더하는 </w:t>
      </w:r>
      <w:r>
        <w:rPr>
          <w:b/>
          <w:bCs/>
        </w:rPr>
        <w:t xml:space="preserve">JSON-LD</w:t>
      </w:r>
      <w: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DCAT v3 · Schema.org · SKOS</w:t>
      </w:r>
      <w:r>
        <w:rPr>
          <w:color w:val="777777"/>
          <w:sz w:val="16"/>
          <w:szCs w:val="16"/>
        </w:rPr>
        <w:t xml:space="preserve">  (W3C · community)</w:t>
      </w:r>
    </w:p>
    <w:p>
      <w:pPr>
        <w:spacing w:after="50" w:line="300"/>
      </w:pPr>
      <w:r>
        <w:t xml:space="preserve">DCAT는 데이터셋·배포본을 기술하는 카탈로그 어휘(dct:license·dcat:distribution·dcat:accessService 등), Schema.org는 범용 의미 어휘, SKOS는 통제어·분류체계를 표현하는 어휘다.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PROV-O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데이터의 출처·생성 이력(계보)을 표현하는 표준. prov:wasGeneratedBy·wasAttributedTo·wasDerivedFrom 등으로 ‘무엇이 어떤 활동으로 누구에 의해 생성·파생됐는가’를 그래프로 남긴다.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DQV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 품질을 형식적으로 기술하는 어휘. dqv:Dimension(품질 차원)·dqv:QualityMeasurement(측정값)으로 정확도·완전성·대표성을 데이터에 붙여, 파이프라인이 이상 데이터를 자동으로 거르게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QUDT / UCUM</w:t>
      </w:r>
      <w:r>
        <w:rPr>
          <w:color w:val="777777"/>
          <w:sz w:val="16"/>
          <w:szCs w:val="16"/>
        </w:rPr>
        <w:t xml:space="preserve">  (QUDT.org · Regenstrief)</w:t>
      </w:r>
    </w:p>
    <w:p>
      <w:pPr>
        <w:spacing w:after="50" w:line="300"/>
      </w:pPr>
      <w:r>
        <w:t xml:space="preserve">단위·물리량을 IRI(QUDT) 또는 파싱 가능한 표준 코드(UCUM)로 표현해, 혼재된 단위를 기계가 환산·정규화하게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SHACL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RDF 데이터가 규칙(필수 항목·값 범위·형식·열거값)을 지키는지 자동 검증하는 표준. 측정 범위·M/O 표기·코드 목록이 sh:minInclusive·sh:minCount·sh:in 등으로 그대로 옮겨진다.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Croissant · DataCite(DOI) · re3data</w:t>
      </w:r>
      <w:r>
        <w:rPr>
          <w:color w:val="777777"/>
          <w:sz w:val="16"/>
          <w:szCs w:val="16"/>
        </w:rPr>
        <w:t xml:space="preserve">  (MLCommons · DataCite)</w:t>
      </w:r>
    </w:p>
    <w:p>
      <w:pPr>
        <w:spacing w:after="50" w:line="300"/>
      </w:pPr>
      <w:r>
        <w:t xml:space="preserve">Croissant는 여러 파일을 ‘하나의 ML 데이터셋’으로 묶는 JSON-LD 포장 형식, DataCite(DOI)는 영속 식별자 부여 체계, re3data는 데이터 저장소 레지스트리다.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CityGML · GeoSPARQL</w:t>
      </w:r>
      <w:r>
        <w:rPr>
          <w:color w:val="777777"/>
          <w:sz w:val="16"/>
          <w:szCs w:val="16"/>
        </w:rPr>
        <w:t xml:space="preserve">  (OGC)</w:t>
      </w:r>
    </w:p>
    <w:p>
      <w:pPr>
        <w:spacing w:after="50" w:line="300"/>
      </w:pPr>
      <w:r>
        <w:t xml:space="preserve">CityGML은 도시·건물의 3D 모델을 표현하는 OGC 표준(GML 기반)이고, GeoSPARQL은 공간 데이터를 RDF로 질의·표현하는 OGC 표준(geo:hasGeometry·geo:asWKT 등)이다. 이 표준의 UML 모델을 RDF로 옮길 때 직접 연결 대상이 된다.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예시(JSON-LD·SHACL 등)를 덧붙인다.</w:t>
      </w:r>
    </w:p>
    <w:p>
      <w:pPr>
        <w:pStyle w:val="Heading2"/>
      </w:pPr>
      <w:r>
        <w:t xml:space="preserve">3.1 시맨틱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CityGML 3.0을 프로파일해 Building·Construction·CityFurniture 등 도메인 의미는 명확하다. 그러나 속성명이 로컬 이름(예: </w:t>
      </w:r>
      <w:r>
        <w:rPr>
          <w:rFonts w:ascii="Consolas" w:cs="Consolas" w:eastAsia="Consolas" w:hAnsi="Consolas"/>
          <w:sz w:val="18"/>
          <w:szCs w:val="18"/>
        </w:rPr>
        <w:t xml:space="preserve">cityObjectMemberIId·storeysAboveGround·gisBuildingId</w:t>
      </w:r>
      <w:r>
        <w:t xml:space="preserve">)이고, 표준 자체에 이들을 가리키는 전역 IRI 바인딩이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속성을 CityGML 네임스페이스와 </w:t>
      </w:r>
      <w:r>
        <w:rPr>
          <w:b/>
          <w:bCs/>
        </w:rPr>
        <w:t xml:space="preserve">GeoSPARQL</w:t>
      </w:r>
      <w:r>
        <w:t xml:space="preserve"> IRI에 결합한다. CityGML을 프로파일한 만큼 상위 어휘가 이미 IRI로 존재하므로, 매핑 비용이 낮다.</w:t>
      </w:r>
    </w:p>
    <w:p>
      <w:pPr>
        <w:pStyle w:val="Heading2"/>
      </w:pPr>
      <w:r>
        <w:t>3.2 데이터 모델 (2 · 충족)</w:t>
      </w:r>
    </w:p>
    <w:p>
      <w:pPr>
        <w:spacing w:after="140" w:line="300"/>
      </w:pPr>
      <w:r>
        <w:t>KS X ISO 19103 UML로 값 유형(CharacterString·Integer·date)·코드리스트·카디널리티를 형식 정의한다.</w:t>
      </w:r>
    </w:p>
    <w:p>
      <w:pPr>
        <w:spacing w:after="140" w:line="300"/>
      </w:pPr>
      <w:r>
        <w:t>UML을 RDF/SHACL로 병기하면 값 제약을 기계가 직접 검증한다.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부록에 CSV·XML(GML) 예시(부록 Ⅱ Dynamizer 예제, 부록 Ⅲ 주소 인코딩 예)가 제공되나, JSON-LD·RDF 직렬화는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JSON-LD/GeoJSON-LD 표현을 제공한다. 공간 좌표는 GeoSPARQL </w:t>
      </w:r>
      <w:r>
        <w:rPr>
          <w:rFonts w:ascii="Consolas" w:cs="Consolas" w:eastAsia="Consolas" w:hAnsi="Consolas"/>
          <w:sz w:val="18"/>
          <w:szCs w:val="18"/>
        </w:rPr>
        <w:t xml:space="preserve">geo:asWKT</w:t>
      </w:r>
      <w:r>
        <w:t xml:space="preserve">/GeoJSON으로 적으면 공간 질의 도구가 바로 활용한다.</w:t>
      </w:r>
    </w:p>
    <w:p>
      <w:pPr>
        <w:pStyle w:val="Heading2"/>
      </w:pPr>
      <w:r>
        <w:t>3.4 운영 시맨틱 (비해당 · N/A)</w:t>
      </w:r>
    </w:p>
    <w:p>
      <w:pPr>
        <w:spacing w:after="140" w:line="300"/>
      </w:pPr>
      <w:r>
        <w:t>이 표준은 디지털 국토정보 공통 데이터 모델을 기술할 뿐 AI/ML 학습·검증 사용 방식(split·feature/label)을 정의하는 표준이 아니므로 운영 시맨틱은 비해당(N/A)이다.</w:t>
      </w:r>
    </w:p>
    <w:p>
      <w:pPr>
        <w:spacing w:after="140" w:line="300"/>
      </w:pPr>
      <w:r>
        <w:t>해당 데이터를 ML에 사용할 경우, 원본 표준이 아니라 Croissant 포장 계층에서 split·역할을 선언한다(관심사 분리).</w:t>
      </w:r>
    </w:p>
    <w:p>
      <w:pPr>
        <w:pStyle w:val="Heading2"/>
      </w:pPr>
      <w:r>
        <w:t xml:space="preserve">3.5 출처/계보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연계 출처 추적이 부분적으로 있다. 건물 객체는 </w:t>
      </w:r>
      <w:r>
        <w:rPr>
          <w:rFonts w:ascii="Consolas" w:cs="Consolas" w:eastAsia="Consolas" w:hAnsi="Consolas"/>
          <w:sz w:val="18"/>
          <w:szCs w:val="18"/>
        </w:rPr>
        <w:t xml:space="preserve">gisBuildingId(GIS건물통합정보 PK)·ufid(연속수치지형도 PK)·jusoBuildingId(주소정보기본도 PK)</w:t>
      </w:r>
      <w:r>
        <w:t xml:space="preserve">로 어느 원천 지도에서 왔는지 가리키고, </w:t>
      </w:r>
      <w:r>
        <w:rPr>
          <w:rFonts w:ascii="Consolas" w:cs="Consolas" w:eastAsia="Consolas" w:hAnsi="Consolas"/>
          <w:sz w:val="18"/>
          <w:szCs w:val="18"/>
        </w:rPr>
        <w:t xml:space="preserve">creationDate·updateDate(date)</w:t>
      </w:r>
      <w:r>
        <w:t xml:space="preserve">로 연계 지도의 생성·갱신 시점을 남긴다.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이 연계 이력을 </w:t>
      </w:r>
      <w:r>
        <w:rPr>
          <w:b/>
          <w:bCs/>
        </w:rPr>
        <w:t xml:space="preserve">PROV-O</w:t>
      </w:r>
      <w:r>
        <w:t xml:space="preserve">로 형식화한다(예: 건물 </w:t>
      </w:r>
      <w:r>
        <w:rPr>
          <w:rFonts w:ascii="Consolas" w:cs="Consolas" w:eastAsia="Consolas" w:hAnsi="Consolas"/>
          <w:sz w:val="18"/>
          <w:szCs w:val="18"/>
        </w:rPr>
        <w:t xml:space="preserve">prov:wasDerivedFrom</w:t>
      </w:r>
      <w:r>
        <w:t xml:space="preserve"> 연속수치지형도). 이미 출처 키가 있어 전환이 수월하다.</w:t>
      </w:r>
    </w:p>
    <w:p>
      <w:pPr>
        <w:pStyle w:val="Heading2"/>
      </w:pPr>
      <w:r>
        <w:t xml:space="preserve">3.6 품질 프로파일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데이터 품질(위치 정확도·완전성 등)을 기술하는 어휘가 없다.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위치 정확도·연계 완전성 등을 </w:t>
      </w:r>
      <w:r>
        <w:rPr>
          <w:b/>
          <w:bCs/>
        </w:rPr>
        <w:t xml:space="preserve">DQV</w:t>
      </w:r>
      <w:r>
        <w:t xml:space="preserve">로 표현한다. 공간 데이터에서 위치 정확도는 활용 가능성의 핵심 지표다.</w:t>
      </w:r>
    </w:p>
    <w:p>
      <w:pPr>
        <w:pStyle w:val="Heading2"/>
      </w:pPr>
      <w:r>
        <w:t xml:space="preserve">3.7 접근/사용 제약 (0 · 미충족)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데이터 수준 라이선스·접근권 메타데이터가 없다. 공공데이터 연계 표준임에도 이용 조건이 데이터에 붙지 않는다.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DCAT v3 </w:t>
      </w:r>
      <w:r>
        <w:rPr>
          <w:rFonts w:ascii="Consolas" w:cs="Consolas" w:eastAsia="Consolas" w:hAnsi="Consolas"/>
          <w:sz w:val="18"/>
          <w:szCs w:val="18"/>
        </w:rPr>
        <w:t xml:space="preserve">dct:license·dct:accessRights</w:t>
      </w:r>
      <w:r>
        <w:t xml:space="preserve">와 </w:t>
      </w:r>
      <w:r>
        <w:rPr>
          <w:b/>
          <w:bCs/>
        </w:rPr>
        <w:t xml:space="preserve">ODRL</w:t>
      </w:r>
      <w:r>
        <w:t xml:space="preserve">로 공공데이터 이용 조건을 부착한다.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UML 데이터 모델은 그대로 두고 ‘공간 RDF 표현 계층’을 더하는 방식을 권고한다. (1) 검토 의견서의 인용 표준(CityGML·KS X 6808-1·ISO 19103·ISO/IEC 19505) 등재를 선행해 프로파일 관계를 규범적으로 닫는다. (2) 속성→CityGML/GeoSPARQL IRI 매핑표를 부속서로 추가한다. (3) 코드리스트를 SKOS로, 좌표계를 EPSG IRI로 형식화한다. (4) 위치 정확도 DQV와 이용 조건(DCAT/ODRL)을 신설한다.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3676"/>
        <w:gridCol w:w="1700"/>
      </w:tblGrid>
      <w:tr>
        <w:trPr>
          <w:tblHeader/>
        </w:trP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연결 표준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핵심 조치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현재 등급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CityGML·GeoSPARQL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의미·상하/포함 관계를 어휘 IRI에 바인딩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데이터 모델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XSD·SHACL·JSON Schema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값 유형·제약·반복을 스키마로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2 · 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신태틱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JSON-LD·GeoJSON-LD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직렬화 제공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운영 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Croissant 1.0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비해당 — ML 사용 시 Croissant 포장 계층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비해당 · N/A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출처/계보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PROV-O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연계 이력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DQV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위치 정확도 표현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접근/제약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DCAT·ODRL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공공데이터 이용 조건 부착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· 미충족</w:t>
            </w:r>
          </w:p>
        </w:tc>
      </w:tr>
    </w:tbl>
    <w:p>
      <w:pPr>
        <w:spacing w:after="60" w:line="300"/>
      </w:pPr>
    </w:p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데이터 모델이 이미 충족이므로, 인용 표준 등재와 속성 IRI 바인딩을 먼저 처리하면 프로파일 관계가 형식적으로 닫히고 시맨틱이 빠르게 올라간다. 품질·접근 제약 두 곳이 0이라 보강 우선 대상이다. 공간 데이터의 GeoSPARQL 전환 사례로서, 다른 도메인(스마트시티·디지털 트윈) 표준에도 재사용 가능한 패턴을 보여줄 수 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2026-06-22T06:18:39.229Z</dcterms:created>
  <dcterms:modified xsi:type="dcterms:W3CDTF">2026-06-22T06:18:39.229Z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