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표준 검토 의견서</w:t>
      </w:r>
    </w:p>
    <w:p>
      <w:pPr>
        <w:spacing w:after="40"/>
        <w:jc w:val="center"/>
      </w:pPr>
      <w:r>
        <w:rPr>
          <w:b/>
          <w:bCs/>
          <w:sz w:val="23"/>
          <w:szCs w:val="23"/>
        </w:rPr>
        <w:t xml:space="preserve">디지털 국토정보 플랫폼의 데이터 연계를 위한 공통 데이터 모델</w:t>
      </w:r>
    </w:p>
    <w:p>
      <w:pPr>
        <w:spacing w:after="240"/>
        <w:jc w:val="center"/>
      </w:pPr>
      <w:r>
        <w:rPr>
          <w:color w:val="666666"/>
          <w:sz w:val="20"/>
          <w:szCs w:val="20"/>
        </w:rPr>
        <w:t xml:space="preserve">TTAK.KO-10.1510 (제정일 2024.12.06.) · PG409</w:t>
      </w:r>
    </w:p>
    <w:p>
      <w:pPr>
        <w:pStyle w:val="Heading1"/>
      </w:pPr>
      <w:r>
        <w:t xml:space="preserve">1. 검토 개요와 방법</w:t>
      </w:r>
    </w:p>
    <w:p>
      <w:pPr>
        <w:spacing w:after="140" w:line="300"/>
      </w:pPr>
      <w:r>
        <w:t xml:space="preserve">본 의견서는 표준 </w:t>
      </w:r>
      <w:r>
        <w:rPr>
          <w:b/>
          <w:bCs/>
        </w:rPr>
        <w:t xml:space="preserve">TTAK.KO-10.1510</w:t>
      </w:r>
      <w:r>
        <w:t xml:space="preserve">의 서문, 본문(적용 범위·인용 표준·용어 정의·5장 공통 데이터 모델·6장 컬럼 정의와 코드리스트), 부속서 A(코드리스트), 부록을 검토한 결과다. 이 표준은 OGC CityGML 3.0과 KS X 6808-1:2022를 프로파일·확장한 UML 데이터 모델로, 4개 모듈(Construction·Building·CityFurniture·Dynamizer)을 정의한다. 결함은 ‘인용 표준 분류’와 ‘표기 일관성’에 집중되며, 특히 인용 표준 누락은 프로파일 표준 특성상 심각도가 높다.</w:t>
      </w:r>
    </w:p>
    <w:p>
      <w:pPr>
        <w:spacing w:after="140" w:line="300"/>
      </w:pPr>
      <w:r>
        <w:t xml:space="preserve">결함의 분류는 분석 카드의 표기와 일치시킨다. </w:t>
      </w:r>
      <w:r>
        <w:rPr>
          <w:b/>
          <w:bCs/>
        </w:rPr>
        <w:t xml:space="preserve">발견 Y</w:t>
      </w:r>
      <w:r>
        <w:t xml:space="preserve"> = 해당 유형 결함이 있음, </w:t>
      </w:r>
      <w:r>
        <w:rPr>
          <w:b/>
          <w:bCs/>
        </w:rPr>
        <w:t xml:space="preserve">N</w:t>
      </w:r>
      <w:r>
        <w:t xml:space="preserve"> = 검사 대상은 있으나 결함이 없음(통과), </w:t>
      </w:r>
      <w:r>
        <w:rPr>
          <w:b/>
          <w:bCs/>
        </w:rPr>
        <w:t xml:space="preserve">N/A</w:t>
      </w:r>
      <w:r>
        <w:t xml:space="preserve"> = 해당 유형 자체가 이 표준에 없음(비해당). 아래 요약 표에는 Y 항목만 싣고, 통과·비해당 항목은 3장에 따로 정리한다.</w:t>
      </w:r>
    </w:p>
    <w:p>
      <w:pPr>
        <w:pStyle w:val="Heading1"/>
      </w:pPr>
      <w:r>
        <w:t xml:space="preserve">2. 발견 사항 — 요약과 상세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1620"/>
        <w:gridCol w:w="3206"/>
        <w:gridCol w:w="2780"/>
        <w:gridCol w:w="860"/>
      </w:tblGrid>
      <w:tr>
        <w:trPr>
          <w:tblHeader/>
        </w:trPr>
        <w:tc>
          <w:tcPr>
            <w:tcW w:type="dxa" w:w="560"/>
            <w:tcBorders>
              <w:top w:val="single" w:color="BBBBBB" w:sz="1"/>
              <w:left w:val="single" w:color="BBBBBB" w:sz="1"/>
              <w:bottom w:val="single" w:color="BBBBBB" w:sz="1"/>
              <w:right w:val="single" w:color="BBBBBB" w:sz="1"/>
            </w:tcBorders>
            <w:shd w:fill="2E5496" w:val="clear"/>
            <w:tcMar>
              <w:top w:type="dxa" w:w="60"/>
              <w:left w:type="dxa" w:w="110"/>
              <w:bottom w:type="dxa" w:w="60"/>
              <w:right w:type="dxa" w:w="110"/>
            </w:tcMar>
            <w:vAlign w:val="center"/>
          </w:tcPr>
          <w:p>
            <w:r>
              <w:rPr>
                <w:b/>
                <w:bCs/>
                <w:color w:val="FFFFFF"/>
                <w:sz w:val="16"/>
                <w:szCs w:val="16"/>
              </w:rPr>
              <w:t xml:space="preserve">번호</w:t>
            </w:r>
          </w:p>
        </w:tc>
        <w:tc>
          <w:tcPr>
            <w:tcW w:type="dxa" w:w="1620"/>
            <w:tcBorders>
              <w:top w:val="single" w:color="BBBBBB" w:sz="1"/>
              <w:left w:val="single" w:color="BBBBBB" w:sz="1"/>
              <w:bottom w:val="single" w:color="BBBBBB" w:sz="1"/>
              <w:right w:val="single" w:color="BBBBBB" w:sz="1"/>
            </w:tcBorders>
            <w:shd w:fill="2E5496" w:val="clear"/>
            <w:tcMar>
              <w:top w:type="dxa" w:w="60"/>
              <w:left w:type="dxa" w:w="110"/>
              <w:bottom w:type="dxa" w:w="60"/>
              <w:right w:type="dxa" w:w="110"/>
            </w:tcMar>
            <w:vAlign w:val="center"/>
          </w:tcPr>
          <w:p>
            <w:r>
              <w:rPr>
                <w:b/>
                <w:bCs/>
                <w:color w:val="FFFFFF"/>
                <w:sz w:val="16"/>
                <w:szCs w:val="16"/>
              </w:rPr>
              <w:t xml:space="preserve">위치</w:t>
            </w:r>
          </w:p>
        </w:tc>
        <w:tc>
          <w:tcPr>
            <w:tcW w:type="dxa" w:w="3206"/>
            <w:tcBorders>
              <w:top w:val="single" w:color="BBBBBB" w:sz="1"/>
              <w:left w:val="single" w:color="BBBBBB" w:sz="1"/>
              <w:bottom w:val="single" w:color="BBBBBB" w:sz="1"/>
              <w:right w:val="single" w:color="BBBBBB" w:sz="1"/>
            </w:tcBorders>
            <w:shd w:fill="2E5496" w:val="clear"/>
            <w:tcMar>
              <w:top w:type="dxa" w:w="60"/>
              <w:left w:type="dxa" w:w="110"/>
              <w:bottom w:type="dxa" w:w="60"/>
              <w:right w:type="dxa" w:w="110"/>
            </w:tcMar>
            <w:vAlign w:val="center"/>
          </w:tcPr>
          <w:p>
            <w:r>
              <w:rPr>
                <w:b/>
                <w:bCs/>
                <w:color w:val="FFFFFF"/>
                <w:sz w:val="16"/>
                <w:szCs w:val="16"/>
              </w:rPr>
              <w:t xml:space="preserve">문제점</w:t>
            </w:r>
          </w:p>
        </w:tc>
        <w:tc>
          <w:tcPr>
            <w:tcW w:type="dxa" w:w="2780"/>
            <w:tcBorders>
              <w:top w:val="single" w:color="BBBBBB" w:sz="1"/>
              <w:left w:val="single" w:color="BBBBBB" w:sz="1"/>
              <w:bottom w:val="single" w:color="BBBBBB" w:sz="1"/>
              <w:right w:val="single" w:color="BBBBBB" w:sz="1"/>
            </w:tcBorders>
            <w:shd w:fill="2E5496" w:val="clear"/>
            <w:tcMar>
              <w:top w:type="dxa" w:w="60"/>
              <w:left w:type="dxa" w:w="110"/>
              <w:bottom w:type="dxa" w:w="60"/>
              <w:right w:type="dxa" w:w="110"/>
            </w:tcMar>
            <w:vAlign w:val="center"/>
          </w:tcPr>
          <w:p>
            <w:r>
              <w:rPr>
                <w:b/>
                <w:bCs/>
                <w:color w:val="FFFFFF"/>
                <w:sz w:val="16"/>
                <w:szCs w:val="16"/>
              </w:rPr>
              <w:t xml:space="preserve">수정 권고</w:t>
            </w:r>
          </w:p>
        </w:tc>
        <w:tc>
          <w:tcPr>
            <w:tcW w:type="dxa" w:w="860"/>
            <w:tcBorders>
              <w:top w:val="single" w:color="BBBBBB" w:sz="1"/>
              <w:left w:val="single" w:color="BBBBBB" w:sz="1"/>
              <w:bottom w:val="single" w:color="BBBBBB" w:sz="1"/>
              <w:right w:val="single" w:color="BBBBBB" w:sz="1"/>
            </w:tcBorders>
            <w:shd w:fill="2E5496" w:val="clear"/>
            <w:tcMar>
              <w:top w:type="dxa" w:w="60"/>
              <w:left w:type="dxa" w:w="110"/>
              <w:bottom w:type="dxa" w:w="60"/>
              <w:right w:type="dxa" w:w="110"/>
            </w:tcMar>
            <w:vAlign w:val="center"/>
          </w:tcPr>
          <w:p>
            <w:r>
              <w:rPr>
                <w:b/>
                <w:bCs/>
                <w:color w:val="FFFFFF"/>
                <w:sz w:val="16"/>
                <w:szCs w:val="16"/>
              </w:rPr>
              <w:t xml:space="preserve">심각도</w:t>
            </w:r>
          </w:p>
        </w:tc>
      </w:tr>
      <w:tr>
        <w:tc>
          <w:tcPr>
            <w:tcW w:type="dxa" w:w="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sz w:val="15"/>
                <w:szCs w:val="15"/>
              </w:rPr>
              <w:t xml:space="preserve">1</w:t>
            </w:r>
          </w:p>
        </w:tc>
        <w:tc>
          <w:tcPr>
            <w:tcW w:type="dxa" w:w="16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15"/>
                <w:szCs w:val="15"/>
              </w:rPr>
              <w:t xml:space="preserve">서문 3절 / 본문 1·2장 (인용 표준)</w:t>
            </w:r>
          </w:p>
        </w:tc>
        <w:tc>
          <w:tcPr>
            <w:tcW w:type="dxa" w:w="320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15"/>
                <w:szCs w:val="15"/>
              </w:rPr>
              <w:t xml:space="preserve">1장·5장이 ‘이 표준을 따르는 데이터는 OGC CityGML 3.0과 KS X 6808-1:2022를 따라야 한다’고 규범적으로 요구하고, 개념 스키마는 KS X ISO 19103·ISO/IEC 19505(UML)를 따른다. 그러나 ‘인용 표준 해당 사항 없음’.</w:t>
            </w:r>
          </w:p>
        </w:tc>
        <w:tc>
          <w:tcPr>
            <w:tcW w:type="dxa" w:w="27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15"/>
                <w:szCs w:val="15"/>
              </w:rPr>
              <w:t xml:space="preserve">OGC CityGML 3.0·KS X 6808-1:2022·KS X ISO 19103·ISO/IEC 19505를 인용 표준으로 등재.</w:t>
            </w:r>
          </w:p>
        </w:tc>
        <w:tc>
          <w:tcPr>
            <w:tcW w:type="dxa" w:w="860"/>
            <w:tcBorders>
              <w:top w:val="single" w:color="BBBBBB" w:sz="1"/>
              <w:left w:val="single" w:color="BBBBBB" w:sz="1"/>
              <w:bottom w:val="single" w:color="BBBBBB" w:sz="1"/>
              <w:right w:val="single" w:color="BBBBBB" w:sz="1"/>
            </w:tcBorders>
            <w:shd w:fill="F4CCCC" w:val="clear"/>
            <w:tcMar>
              <w:top w:type="dxa" w:w="60"/>
              <w:left w:type="dxa" w:w="110"/>
              <w:bottom w:type="dxa" w:w="60"/>
              <w:right w:type="dxa" w:w="110"/>
            </w:tcMar>
            <w:vAlign w:val="center"/>
          </w:tcPr>
          <w:p>
            <w:pPr>
              <w:jc w:val="center"/>
            </w:pPr>
            <w:r>
              <w:rPr>
                <w:b/>
                <w:bCs/>
                <w:sz w:val="15"/>
                <w:szCs w:val="15"/>
              </w:rPr>
              <w:t xml:space="preserve">높음</w:t>
            </w:r>
          </w:p>
        </w:tc>
      </w:tr>
      <w:tr>
        <w:tc>
          <w:tcPr>
            <w:tcW w:type="dxa" w:w="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sz w:val="15"/>
                <w:szCs w:val="15"/>
              </w:rPr>
              <w:t xml:space="preserve">2</w:t>
            </w:r>
          </w:p>
        </w:tc>
        <w:tc>
          <w:tcPr>
            <w:tcW w:type="dxa" w:w="16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15"/>
                <w:szCs w:val="15"/>
              </w:rPr>
              <w:t xml:space="preserve">목차 / 부록 Ⅱ (표기)</w:t>
            </w:r>
          </w:p>
        </w:tc>
        <w:tc>
          <w:tcPr>
            <w:tcW w:type="dxa" w:w="320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15"/>
                <w:szCs w:val="15"/>
              </w:rPr>
              <w:t xml:space="preserve">본문 모듈명은 ‘Dynamizer’(CityGML 3.0 Dynamizer 모듈)이나 부록 Ⅱ 제목은 ‘Dynamazer 예제’로 표기되어 불일치(오타).</w:t>
            </w:r>
          </w:p>
        </w:tc>
        <w:tc>
          <w:tcPr>
            <w:tcW w:type="dxa" w:w="27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15"/>
                <w:szCs w:val="15"/>
              </w:rPr>
              <w:t xml:space="preserve">‘Dynamizer’로 통일.</w:t>
            </w:r>
          </w:p>
        </w:tc>
        <w:tc>
          <w:tcPr>
            <w:tcW w:type="dxa" w:w="860"/>
            <w:tcBorders>
              <w:top w:val="single" w:color="BBBBBB" w:sz="1"/>
              <w:left w:val="single" w:color="BBBBBB" w:sz="1"/>
              <w:bottom w:val="single" w:color="BBBBBB" w:sz="1"/>
              <w:right w:val="single" w:color="BBBBBB" w:sz="1"/>
            </w:tcBorders>
            <w:shd w:fill="FFF2CC" w:val="clear"/>
            <w:tcMar>
              <w:top w:type="dxa" w:w="60"/>
              <w:left w:type="dxa" w:w="110"/>
              <w:bottom w:type="dxa" w:w="60"/>
              <w:right w:type="dxa" w:w="110"/>
            </w:tcMar>
            <w:vAlign w:val="center"/>
          </w:tcPr>
          <w:p>
            <w:pPr>
              <w:jc w:val="center"/>
            </w:pPr>
            <w:r>
              <w:rPr>
                <w:b/>
                <w:bCs/>
                <w:sz w:val="15"/>
                <w:szCs w:val="15"/>
              </w:rPr>
              <w:t xml:space="preserve">낮음</w:t>
            </w:r>
          </w:p>
        </w:tc>
      </w:tr>
    </w:tbl>
    <w:p>
      <w:pPr>
        <w:spacing w:after="120" w:line="300"/>
      </w:pPr>
    </w:p>
    <w:p>
      <w:pPr>
        <w:pStyle w:val="Heading2"/>
      </w:pPr>
      <w:r>
        <w:t xml:space="preserve">2.1 인용 표준 분류 (심각도 높음)</w:t>
      </w:r>
    </w:p>
    <w:p>
      <w:pPr>
        <w:spacing w:after="140" w:line="300"/>
      </w:pPr>
      <w:r>
        <w:t xml:space="preserve">이 표준은 본질적으로 두 외부 표준의 프로파일이다. 1장 적용 범위는 “이 표준을 따르는 데이터는 OGC CityGML 3.0(20-010)과 지리정보-디지털 트윈국토 건물-제1부: 데이터 모델(KS X 6808-1:2022) 표준을 따라야 한다”고 규범적으로 요구하고, 5.1.2 표기법은 개념 스키마가 </w:t>
      </w:r>
      <w:r>
        <w:rPr>
          <w:rFonts w:ascii="Consolas" w:cs="Consolas" w:eastAsia="Consolas" w:hAnsi="Consolas"/>
          <w:sz w:val="18"/>
          <w:szCs w:val="18"/>
        </w:rPr>
        <w:t xml:space="preserve">KS X ISO 19103</w:t>
      </w:r>
      <w:r>
        <w:t xml:space="preserve"> 지침과 </w:t>
      </w:r>
      <w:r>
        <w:rPr>
          <w:rFonts w:ascii="Consolas" w:cs="Consolas" w:eastAsia="Consolas" w:hAnsi="Consolas"/>
          <w:sz w:val="18"/>
          <w:szCs w:val="18"/>
        </w:rPr>
        <w:t xml:space="preserve">ISO/IEC 19505</w:t>
      </w:r>
      <w:r>
        <w:t xml:space="preserve">(UML)를 따른다고 명시한다. Construction·Building 모듈은 KS X 6808-1을, CityFurniture·Dynamizer 모듈은 CityGML 3.0을 프로파일한다.</w:t>
      </w:r>
    </w:p>
    <w:p>
      <w:pPr>
        <w:spacing w:after="140" w:line="300"/>
      </w:pPr>
      <w:r>
        <w:t xml:space="preserve">이처럼 외부 표준이 본 표준의 ‘적용에 필수’임에도 인용 표준을 ‘없음’으로 둔 것은 명백한 분류 누락이다. 프로파일 표준에서 인용 표준 미등재는 적합성(conformance) 판단의 근거 자체를 무너뜨린다 — 어떤 데이터가 ‘이 표준을 따른다’고 할 때 무엇을 만족해야 하는지가 규범적으로 닫히지 않는다. 따라서 위 네 표준을 인용 표준으로 반드시 등재해야 한다.</w:t>
      </w:r>
    </w:p>
    <w:p>
      <w:pPr>
        <w:pBdr>
          <w:top w:val="single" w:color="C7D6E5" w:sz="4" w:space="5"/>
          <w:left w:val="single" w:color="5E7DA0" w:sz="16" w:space="8"/>
          <w:bottom w:val="single" w:color="C7D6E5" w:sz="4" w:space="5"/>
          <w:right w:val="single" w:color="C7D6E5" w:sz="4" w:space="5"/>
        </w:pBdr>
        <w:shd w:fill="EEF3F7" w:val="clear"/>
        <w:spacing w:after="120" w:before="60" w:line="285"/>
      </w:pPr>
      <w:r>
        <w:rPr>
          <w:b/>
          <w:bCs/>
          <w:color w:val="2E5496"/>
          <w:sz w:val="17"/>
          <w:szCs w:val="17"/>
        </w:rPr>
        <w:t xml:space="preserve">본문 근거  </w:t>
      </w:r>
      <w:r>
        <w:t xml:space="preserve">1장 — “이 표준을 따르는 데이터는 OGC CityGML 3.0(20-010)과 … (KS X 6808-1:2022) 표준을 따라야 한다.” / 5.1.2 — “개념적 스키마 모델은 KS X ISO 19103의 지침에 따라 통합 모델링 언어(UML)(ISO/IEC 19505 참조)를 따른다.”</w:t>
      </w:r>
    </w:p>
    <w:p>
      <w:pPr>
        <w:pStyle w:val="Heading2"/>
      </w:pPr>
      <w:r>
        <w:t xml:space="preserve">2.2 표기 오류 (심각도 낮음)</w:t>
      </w:r>
    </w:p>
    <w:p>
      <w:pPr>
        <w:spacing w:after="140" w:line="300"/>
      </w:pPr>
      <w:r>
        <w:t xml:space="preserve">본문에서 동적 데이터 모듈명은 일관되게 ‘Dynamizer’(CityGML 3.0의 Dynamizer 모듈)인데, 부록 Ⅱ의 제목은 ‘CSV 파일 공공데이터 표현을 위한 Dynamazer 예제’로 적혀 있어 ‘Dynamizer’와 ‘Dynamazer’가 어긋난다. 단순 오타이나 모듈명은 외부 표준 용어이므로 정확히 ‘Dynamizer’로 통일해야 한다.</w:t>
      </w:r>
    </w:p>
    <w:p>
      <w:pPr>
        <w:pStyle w:val="Heading1"/>
      </w:pPr>
      <w:r>
        <w:t xml:space="preserve">3. 점검 통과(N) · 비해당(N/A) 항목</w:t>
      </w:r>
    </w:p>
    <w:p>
      <w:pPr>
        <w:spacing w:after="140" w:line="300"/>
      </w:pPr>
      <w:r>
        <w:t xml:space="preserve">아래 항목은 검사 대상이 있었으나 결함이 없는(N) 항목이다. 이 표준은 ISO 19103 기본 데이터형과 코드리스트를 명확히 쓰고 있어 타입·코드 정의는 정합적이다.</w:t>
      </w:r>
    </w:p>
    <w:p>
      <w:pPr>
        <w:pStyle w:val="ListParagraph"/>
        <w:numPr>
          <w:ilvl w:val="0"/>
          <w:numId w:val="2"/>
        </w:numPr>
        <w:spacing w:after="70" w:line="292"/>
      </w:pPr>
      <w:r>
        <w:rPr>
          <w:b/>
          <w:bCs/>
        </w:rPr>
        <w:t xml:space="preserve">데이터 타입 정의 오류 — </w:t>
      </w:r>
      <w:r>
        <w:t>(N · 통과) 컬럼 정의가 데이터유형 열에 CharacterString·Integer·date(KS X ISO 19103 기본형)로 명시되고(예: storeysAboveGround=Integer, creationDate=date), 타입 정의 오류는 발견되지 않음.</w:t>
      </w:r>
    </w:p>
    <w:p>
      <w:pPr>
        <w:pStyle w:val="ListParagraph"/>
        <w:numPr>
          <w:ilvl w:val="0"/>
          <w:numId w:val="2"/>
        </w:numPr>
        <w:spacing w:after="70" w:line="292"/>
      </w:pPr>
      <w:r>
        <w:rPr>
          <w:b/>
          <w:bCs/>
        </w:rPr>
        <w:t xml:space="preserve">단위 표기 모호성 — </w:t>
      </w:r>
      <w:r>
        <w:t>(N · 통과) 좌표는 GRS80(EPSG:5186) 소수점 6자리로, 층수는 정수로 명시되어 단위·좌표계 모호성은 발견되지 않음.</w:t>
      </w:r>
    </w:p>
    <w:p>
      <w:pPr>
        <w:pStyle w:val="ListParagraph"/>
        <w:numPr>
          <w:ilvl w:val="0"/>
          <w:numId w:val="2"/>
        </w:numPr>
        <w:spacing w:after="70" w:line="292"/>
      </w:pPr>
      <w:r>
        <w:rPr>
          <w:b/>
          <w:bCs/>
        </w:rPr>
        <w:t xml:space="preserve">코드/enum 정의 오류 — </w:t>
      </w:r>
      <w:r>
        <w:t>(N · 통과) 부속서 A 코드리스트를 정의하고 일부를 재정의하되 그 사유(기본도 차이)를 본문에 명시하며, 코드리스트 정의 오류는 발견되지 않음.</w:t>
      </w:r>
    </w:p>
    <w:p>
      <w:pPr>
        <w:pStyle w:val="ListParagraph"/>
        <w:numPr>
          <w:ilvl w:val="0"/>
          <w:numId w:val="2"/>
        </w:numPr>
        <w:spacing w:after="70" w:line="292"/>
      </w:pPr>
      <w:r>
        <w:rPr>
          <w:b/>
          <w:bCs/>
        </w:rPr>
        <w:t xml:space="preserve">내부 일관성 — </w:t>
      </w:r>
      <w:r>
        <w:t>(N · 통과) 상기 부록 제목 오타를 제외하면 명칭·표기 불일치는 추가로 발견되지 않음.</w:t>
      </w:r>
    </w:p>
    <w:p>
      <w:pPr>
        <w:pStyle w:val="ListParagraph"/>
        <w:numPr>
          <w:ilvl w:val="0"/>
          <w:numId w:val="2"/>
        </w:numPr>
        <w:spacing w:after="70" w:line="292"/>
      </w:pPr>
      <w:r>
        <w:rPr>
          <w:b/>
          <w:bCs/>
        </w:rPr>
        <w:t xml:space="preserve">기타 — </w:t>
      </w:r>
      <w:r>
        <w:t>(N · 통과) 위 분류 외 추가 결함은 발견되지 않음.</w:t>
      </w:r>
    </w:p>
    <w:p>
      <w:pPr>
        <w:pStyle w:val="Heading1"/>
      </w:pPr>
      <w:r>
        <w:t xml:space="preserve">4. 조치 우선순위</w:t>
      </w:r>
    </w:p>
    <w:p>
      <w:pPr>
        <w:spacing w:after="140" w:line="300"/>
      </w:pPr>
      <w:r>
        <w:t xml:space="preserve">우선 조치 대상은 2.1 인용 표준 분류다. 프로파일 표준에서 인용 표준 누락은 표준 자체의 적용 가능성과 적합성 판단을 모호하게 만들어 영향이 크다(심각도 높음). 표기 오타는 편집 단계에서 교정한다. 결함 자체는 적으나, AI-Ready 관점의 보강 과제는 별도로 크며 개선방향 문서에서 다룬다.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Malgun Gothic" w:cs="Malgun Gothic" w:eastAsia="Malgun Gothic" w:hAnsi="Malgun Gothic"/>
      <w:b/>
      <w:bCs/>
      <w:color w:val="1F3864"/>
      <w:sz w:val="26"/>
      <w:szCs w:val="26"/>
    </w:rPr>
  </w:style>
  <w:style w:type="paragraph" w:styleId="Heading2">
    <w:name w:val="Heading 2"/>
    <w:basedOn w:val="Normal"/>
    <w:next w:val="Normal"/>
    <w:qFormat/>
    <w:pPr>
      <w:spacing w:after="110" w:before="220"/>
      <w:outlineLvl w:val="1"/>
    </w:pPr>
    <w:rPr>
      <w:rFonts w:ascii="Malgun Gothic" w:cs="Malgun Gothic" w:eastAsia="Malgun Gothic" w:hAnsi="Malgun Gothic"/>
      <w:b/>
      <w:bCs/>
      <w:color w:val="2E549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2026-06-22T06:18:39.221Z</dcterms:created>
  <dcterms:modified xsi:type="dcterms:W3CDTF">2026-06-22T06:18:39.221Z</dcterms:modified>
</cp:coreProperties>
</file>

<file path=docProps/custom.xml><?xml version="1.0" encoding="utf-8"?>
<Properties xmlns="http://schemas.openxmlformats.org/officeDocument/2006/custom-properties" xmlns:vt="http://schemas.openxmlformats.org/officeDocument/2006/docPropsVTypes"/>
</file>