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AI-Ready 메타데이터 관점에서 본</w:t>
      </w:r>
    </w:p>
    <w:p>
      <w:pPr>
        <w:spacing w:after="40"/>
        <w:jc w:val="center"/>
      </w:pPr>
      <w:r>
        <w:rPr>
          <w:b/>
          <w:bCs/>
          <w:sz w:val="23"/>
          <w:szCs w:val="23"/>
        </w:rPr>
        <w:t xml:space="preserve">VC 기반 신원확인 프로파일 표준 분석 보고서</w:t>
      </w:r>
    </w:p>
    <w:p>
      <w:pPr>
        <w:spacing w:after="40"/>
        <w:jc w:val="center"/>
      </w:pPr>
      <w:r>
        <w:rPr>
          <w:b/>
          <w:bCs/>
          <w:sz w:val="23"/>
          <w:szCs w:val="23"/>
        </w:rPr>
        <w:t xml:space="preserve">검증가능한 크리덴셜 기반 사용자 신원확인을 위한 프로파일</w:t>
      </w:r>
    </w:p>
    <w:p>
      <w:pPr>
        <w:spacing w:after="240"/>
        <w:jc w:val="center"/>
      </w:pPr>
      <w:r>
        <w:rPr>
          <w:color w:val="666666"/>
          <w:sz w:val="20"/>
          <w:szCs w:val="20"/>
        </w:rPr>
        <w:t xml:space="preserve">TTAK.KO-10.1561 (제정 2024.12.06.) · PG1006</w:t>
      </w:r>
    </w:p>
    <w:p>
      <w:pPr>
        <w:spacing w:after="240"/>
        <w:jc w:val="center"/>
      </w:pPr>
      <w:r>
        <w:t>7개 구성요소 프레임워크 기반 상세 분석 · 성숙도 7/12 ≈ 58% (운영 비해당)</w:t>
      </w:r>
    </w:p>
    <w:p>
      <w:pPr>
        <w:pStyle w:val="Heading1"/>
      </w:pPr>
      <w:r>
        <w:t xml:space="preserve">들어가며</w:t>
      </w:r>
    </w:p>
    <w:p>
      <w:pPr>
        <w:spacing w:after="140" w:line="300"/>
      </w:pPr>
      <w:r>
        <w:t xml:space="preserve">이 표준은 W3C Verifiable Credentials Data Model 1.0과 Decentralized Identifiers v1.0을 준용해, 주민등록증·운전면허증·여권 등 신원증명 수단의 공통 속성을 신원확인 VC의 필수·옵션 속성으로 정의하는 신원 자격증명 프로파일이다. context·type·issuer·issuanceDate·proof 등 VC 검증 기본정보와 credentialSubject의 id(DID)·firstName·lastName·birthDate·nationality·nationalId·address 등 신원 속성을 JSON-LD 예제로 규정한다.</w:t>
      </w:r>
    </w:p>
    <w:p>
      <w:pPr>
        <w:spacing w:after="140" w:line="300"/>
      </w:pPr>
      <w:r>
        <w:t xml:space="preserve">AI-Ready 잣대로 보면 이 표준은 데이터셋 메타데이터가 아닌 '신원 데이터 모델 준용형'이라는 성격 때문에 잣대 일부가 본질적으로 비적합하다. 외부 전역 어휘(W3C VC/DID IRI)와 JSON-LD 규범 직렬화 덕에 시맨틱·신태틱은 2로 높게 배치되나, 이는 데이터셋 메타데이터 준비도가 아니라 신원 데이터 자체의 성격에서 비롯된 점수다. 보정표 대비로는 시맨틱·신태틱이 1594(11/14) 수준이나, 품질 프로파일(0)·접근제약(1)·운영 시맨틱(1) 등 데이터셋 차원은 약하거나 비해당에 가까워 총점은 중상위에 위치한다.</w:t>
      </w:r>
    </w:p>
    <w:p>
      <w:pPr>
        <w:spacing w:after="140" w:line="300"/>
      </w:pPr>
      <w:r>
        <w:t>핵심 진단은 '어휘·직렬화 골격은 표준 어휘에 기반하고 있으나, 자체 확장 속성(firstName, nationalId, address, evidence 등)이 형식 온톨로지·품질·정책 어휘로 결합되지 않았다'는 점이다. 전환 경로는 (a) 자체 컨텍스트 IRI를 실게시·고정하고 오기를 제거, (b) 확장 속성을 schema.org/SHACL로 형상화, (c) evidence를 PROV-O로·termsOfUse를 ODRL로 승격하는 순서다. 다만 품질 프로파일(DQV) 같은 차원은 신원 자격증명 문맥에서 비적합하므로 잣대의 한계로 명시한다.</w:t>
      </w:r>
    </w:p>
    <w:p>
      <w:pPr>
        <w:pStyle w:val="Heading1"/>
      </w:pPr>
      <w:r>
        <w:t xml:space="preserve">1. 7개 구성요소 프레임워크</w:t>
      </w:r>
    </w:p>
    <w:p>
      <w:pPr>
        <w:spacing w:after="140" w:line="300"/>
      </w:pPr>
      <w:r>
        <w:t>AI-Ready 전환은 기존 메타데이터의 세 측면을 ‘다시 표현’하고(전환 3종), 대체로 빠져 있던 네 측면을 ‘새로 추가’하는(신규 4종) 작업이다. 괄호 안 숫자는 0(미충족)·1(부분)·2(충족) 등급이며, 합계를 14(운영 비해당 시 12)로 나눈 값이 성숙도다.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ook w:firstRow="1"/>
      </w:tblPr>
      <w:tblGrid>
        <w:gridCol w:w="1800"/>
        <w:gridCol w:w="1100"/>
        <w:gridCol w:w="6126"/>
      </w:tblGrid>
      <w:tr>
        <w:trPr>
          <w:tblHeader/>
        </w:trPr>
        <w:tc>
          <w:tcPr>
            <w:tcW w:type="dxa" w:w="1800"/>
            <w:shd w:fill="2E5496" w:val="clear"/>
            <w:tcMar>
              <w:top w:type="dxa" w:w="60"/>
              <w:left w:type="dxa" w:w="80"/>
              <w:bottom w:type="dxa" w:w="60"/>
              <w:right w:type="dxa" w:w="80"/>
            </w:tcMar>
            <w:vAlign w:val="center"/>
          </w:tcPr>
          <w:p>
            <w:pPr>
              <w:spacing w:after="0" w:line="276"/>
              <w:jc w:val="center"/>
            </w:pPr>
            <w:r>
              <w:rPr>
                <w:b/>
                <w:bCs/>
                <w:color w:val="FFFFFF"/>
              </w:rPr>
              <w:t xml:space="preserve">구성요소</w:t>
            </w:r>
          </w:p>
        </w:tc>
        <w:tc>
          <w:tcPr>
            <w:tcW w:type="dxa" w:w="1100"/>
            <w:shd w:fill="2E5496" w:val="clear"/>
            <w:tcMar>
              <w:top w:type="dxa" w:w="60"/>
              <w:left w:type="dxa" w:w="80"/>
              <w:bottom w:type="dxa" w:w="60"/>
              <w:right w:type="dxa" w:w="80"/>
            </w:tcMar>
            <w:vAlign w:val="center"/>
          </w:tcPr>
          <w:p>
            <w:pPr>
              <w:spacing w:after="0" w:line="276"/>
              <w:jc w:val="center"/>
            </w:pPr>
            <w:r>
              <w:rPr>
                <w:b/>
                <w:bCs/>
                <w:color w:val="FFFFFF"/>
              </w:rPr>
              <w:t xml:space="preserve">구분</w:t>
            </w:r>
          </w:p>
        </w:tc>
        <w:tc>
          <w:tcPr>
            <w:tcW w:type="dxa" w:w="6126"/>
            <w:shd w:fill="2E5496" w:val="clear"/>
            <w:tcMar>
              <w:top w:type="dxa" w:w="60"/>
              <w:left w:type="dxa" w:w="80"/>
              <w:bottom w:type="dxa" w:w="60"/>
              <w:right w:type="dxa" w:w="80"/>
            </w:tcMar>
            <w:vAlign w:val="center"/>
          </w:tcPr>
          <w:p>
            <w:pPr>
              <w:spacing w:after="0" w:line="276"/>
              <w:jc w:val="center"/>
            </w:pPr>
            <w:r>
              <w:rPr>
                <w:b/>
                <w:bCs/>
                <w:color w:val="FFFFFF"/>
              </w:rPr>
              <w:t xml:space="preserve">한 줄 의미</w:t>
            </w:r>
          </w:p>
        </w:tc>
      </w:tr>
      <w:tr>
        <w:tc>
          <w:tcPr>
            <w:tcW w:type="dxa" w:w="1800"/>
            <w:tcMar>
              <w:top w:type="dxa" w:w="60"/>
              <w:left w:type="dxa" w:w="80"/>
              <w:bottom w:type="dxa" w:w="60"/>
              <w:right w:type="dxa" w:w="80"/>
            </w:tcMar>
            <w:vAlign w:val="center"/>
          </w:tcPr>
          <w:p>
            <w:pPr>
              <w:spacing w:after="0" w:line="276"/>
            </w:pPr>
            <w:r>
              <w:t xml:space="preserve">시맨틱</w:t>
            </w:r>
          </w:p>
        </w:tc>
        <w:tc>
          <w:tcPr>
            <w:tcW w:type="dxa" w:w="1100"/>
            <w:tcMar>
              <w:top w:type="dxa" w:w="60"/>
              <w:left w:type="dxa" w:w="80"/>
              <w:bottom w:type="dxa" w:w="60"/>
              <w:right w:type="dxa" w:w="80"/>
            </w:tcMar>
            <w:vAlign w:val="center"/>
          </w:tcPr>
          <w:p>
            <w:pPr>
              <w:spacing w:after="0" w:line="276"/>
            </w:pPr>
            <w:r>
              <w:t xml:space="preserve">전환</w:t>
            </w:r>
          </w:p>
        </w:tc>
        <w:tc>
          <w:tcPr>
            <w:tcW w:type="dxa" w:w="6126"/>
            <w:tcMar>
              <w:top w:type="dxa" w:w="60"/>
              <w:left w:type="dxa" w:w="80"/>
              <w:bottom w:type="dxa" w:w="60"/>
              <w:right w:type="dxa" w:w="80"/>
            </w:tcMar>
            <w:vAlign w:val="center"/>
          </w:tcPr>
          <w:p>
            <w:pPr>
              <w:spacing w:after="0" w:line="276"/>
            </w:pPr>
            <w:r>
              <w:t>각 항목의 의미와 항목 간 상하·포함 관계를 전역 어휘 IRI로 고정</w:t>
            </w:r>
          </w:p>
        </w:tc>
      </w:tr>
      <w:tr>
        <w:tc>
          <w:tcPr>
            <w:tcW w:type="dxa" w:w="1800"/>
            <w:tcMar>
              <w:top w:type="dxa" w:w="60"/>
              <w:left w:type="dxa" w:w="80"/>
              <w:bottom w:type="dxa" w:w="60"/>
              <w:right w:type="dxa" w:w="80"/>
            </w:tcMar>
            <w:vAlign w:val="center"/>
          </w:tcPr>
          <w:p>
            <w:pPr>
              <w:spacing w:after="0" w:line="276"/>
            </w:pPr>
            <w:r>
              <w:t xml:space="preserve">데이터 모델</w:t>
            </w:r>
          </w:p>
        </w:tc>
        <w:tc>
          <w:tcPr>
            <w:tcW w:type="dxa" w:w="1100"/>
            <w:tcMar>
              <w:top w:type="dxa" w:w="60"/>
              <w:left w:type="dxa" w:w="80"/>
              <w:bottom w:type="dxa" w:w="60"/>
              <w:right w:type="dxa" w:w="80"/>
            </w:tcMar>
            <w:vAlign w:val="center"/>
          </w:tcPr>
          <w:p>
            <w:pPr>
              <w:spacing w:after="0" w:line="276"/>
            </w:pPr>
            <w:r>
              <w:t xml:space="preserve">전환</w:t>
            </w:r>
          </w:p>
        </w:tc>
        <w:tc>
          <w:tcPr>
            <w:tcW w:type="dxa" w:w="6126"/>
            <w:tcMar>
              <w:top w:type="dxa" w:w="60"/>
              <w:left w:type="dxa" w:w="80"/>
              <w:bottom w:type="dxa" w:w="60"/>
              <w:right w:type="dxa" w:w="80"/>
            </w:tcMar>
            <w:vAlign w:val="center"/>
          </w:tcPr>
          <w:p>
            <w:pPr>
              <w:spacing w:after="0" w:line="276"/>
            </w:pPr>
            <w:r>
              <w:t>각 항목 값의 유형·제약·반복을 기계검증 스키마(XSD·SHACL)로 정의</w:t>
            </w:r>
          </w:p>
        </w:tc>
      </w:tr>
      <w:tr>
        <w:tc>
          <w:tcPr>
            <w:tcW w:type="dxa" w:w="1800"/>
            <w:tcMar>
              <w:top w:type="dxa" w:w="60"/>
              <w:left w:type="dxa" w:w="80"/>
              <w:bottom w:type="dxa" w:w="60"/>
              <w:right w:type="dxa" w:w="80"/>
            </w:tcMar>
            <w:vAlign w:val="center"/>
          </w:tcPr>
          <w:p>
            <w:pPr>
              <w:spacing w:after="0" w:line="276"/>
            </w:pPr>
            <w:r>
              <w:t xml:space="preserve">신태틱</w:t>
            </w:r>
          </w:p>
        </w:tc>
        <w:tc>
          <w:tcPr>
            <w:tcW w:type="dxa" w:w="1100"/>
            <w:tcMar>
              <w:top w:type="dxa" w:w="60"/>
              <w:left w:type="dxa" w:w="80"/>
              <w:bottom w:type="dxa" w:w="60"/>
              <w:right w:type="dxa" w:w="80"/>
            </w:tcMar>
            <w:vAlign w:val="center"/>
          </w:tcPr>
          <w:p>
            <w:pPr>
              <w:spacing w:after="0" w:line="276"/>
            </w:pPr>
            <w:r>
              <w:t xml:space="preserve">전환</w:t>
            </w:r>
          </w:p>
        </w:tc>
        <w:tc>
          <w:tcPr>
            <w:tcW w:type="dxa" w:w="6126"/>
            <w:tcMar>
              <w:top w:type="dxa" w:w="60"/>
              <w:left w:type="dxa" w:w="80"/>
              <w:bottom w:type="dxa" w:w="60"/>
              <w:right w:type="dxa" w:w="80"/>
            </w:tcMar>
            <w:vAlign w:val="center"/>
          </w:tcPr>
          <w:p>
            <w:pPr>
              <w:spacing w:after="0" w:line="276"/>
            </w:pPr>
            <w:r>
              <w:t xml:space="preserve">의미·구조를 적는 표준 직렬화 형식(JSON-LD·RDF 등)</w:t>
            </w:r>
          </w:p>
        </w:tc>
      </w:tr>
      <w:tr>
        <w:tc>
          <w:tcPr>
            <w:tcW w:type="dxa" w:w="1800"/>
            <w:tcMar>
              <w:top w:type="dxa" w:w="60"/>
              <w:left w:type="dxa" w:w="80"/>
              <w:bottom w:type="dxa" w:w="60"/>
              <w:right w:type="dxa" w:w="80"/>
            </w:tcMar>
            <w:vAlign w:val="center"/>
          </w:tcPr>
          <w:p>
            <w:pPr>
              <w:spacing w:after="0" w:line="276"/>
            </w:pPr>
            <w:r>
              <w:t xml:space="preserve">운영 시맨틱</w:t>
            </w:r>
          </w:p>
        </w:tc>
        <w:tc>
          <w:tcPr>
            <w:tcW w:type="dxa" w:w="1100"/>
            <w:tcMar>
              <w:top w:type="dxa" w:w="60"/>
              <w:left w:type="dxa" w:w="80"/>
              <w:bottom w:type="dxa" w:w="60"/>
              <w:right w:type="dxa" w:w="80"/>
            </w:tcMar>
            <w:vAlign w:val="center"/>
          </w:tcPr>
          <w:p>
            <w:pPr>
              <w:spacing w:after="0" w:line="276"/>
            </w:pPr>
            <w:r>
              <w:t xml:space="preserve">신규</w:t>
            </w:r>
          </w:p>
        </w:tc>
        <w:tc>
          <w:tcPr>
            <w:tcW w:type="dxa" w:w="6126"/>
            <w:tcMar>
              <w:top w:type="dxa" w:w="60"/>
              <w:left w:type="dxa" w:w="80"/>
              <w:bottom w:type="dxa" w:w="60"/>
              <w:right w:type="dxa" w:w="80"/>
            </w:tcMar>
            <w:vAlign w:val="center"/>
          </w:tcPr>
          <w:p>
            <w:pPr>
              <w:spacing w:after="0" w:line="276"/>
            </w:pPr>
            <w:r>
              <w:t>AI/ML이 데이터를 어떻게 쓰는지(train/val/test split·feature/label 역할)를 정의</w:t>
            </w:r>
          </w:p>
        </w:tc>
      </w:tr>
      <w:tr>
        <w:tc>
          <w:tcPr>
            <w:tcW w:type="dxa" w:w="1800"/>
            <w:tcMar>
              <w:top w:type="dxa" w:w="60"/>
              <w:left w:type="dxa" w:w="80"/>
              <w:bottom w:type="dxa" w:w="60"/>
              <w:right w:type="dxa" w:w="80"/>
            </w:tcMar>
            <w:vAlign w:val="center"/>
          </w:tcPr>
          <w:p>
            <w:pPr>
              <w:spacing w:after="0" w:line="276"/>
            </w:pPr>
            <w:r>
              <w:t xml:space="preserve">출처/계보</w:t>
            </w:r>
          </w:p>
        </w:tc>
        <w:tc>
          <w:tcPr>
            <w:tcW w:type="dxa" w:w="1100"/>
            <w:tcMar>
              <w:top w:type="dxa" w:w="60"/>
              <w:left w:type="dxa" w:w="80"/>
              <w:bottom w:type="dxa" w:w="60"/>
              <w:right w:type="dxa" w:w="80"/>
            </w:tcMar>
            <w:vAlign w:val="center"/>
          </w:tcPr>
          <w:p>
            <w:pPr>
              <w:spacing w:after="0" w:line="276"/>
            </w:pPr>
            <w:r>
              <w:t xml:space="preserve">신규</w:t>
            </w:r>
          </w:p>
        </w:tc>
        <w:tc>
          <w:tcPr>
            <w:tcW w:type="dxa" w:w="6126"/>
            <w:tcMar>
              <w:top w:type="dxa" w:w="60"/>
              <w:left w:type="dxa" w:w="80"/>
              <w:bottom w:type="dxa" w:w="60"/>
              <w:right w:type="dxa" w:w="80"/>
            </w:tcMar>
            <w:vAlign w:val="center"/>
          </w:tcPr>
          <w:p>
            <w:pPr>
              <w:spacing w:after="0" w:line="276"/>
            </w:pPr>
            <w:r>
              <w:t xml:space="preserve">누가·언제·어떤 과정으로 생성·가공됐는지 이력</w:t>
            </w:r>
          </w:p>
        </w:tc>
      </w:tr>
      <w:tr>
        <w:tc>
          <w:tcPr>
            <w:tcW w:type="dxa" w:w="1800"/>
            <w:tcMar>
              <w:top w:type="dxa" w:w="60"/>
              <w:left w:type="dxa" w:w="80"/>
              <w:bottom w:type="dxa" w:w="60"/>
              <w:right w:type="dxa" w:w="80"/>
            </w:tcMar>
            <w:vAlign w:val="center"/>
          </w:tcPr>
          <w:p>
            <w:pPr>
              <w:spacing w:after="0" w:line="276"/>
            </w:pPr>
            <w:r>
              <w:t xml:space="preserve">품질 프로파일</w:t>
            </w:r>
          </w:p>
        </w:tc>
        <w:tc>
          <w:tcPr>
            <w:tcW w:type="dxa" w:w="1100"/>
            <w:tcMar>
              <w:top w:type="dxa" w:w="60"/>
              <w:left w:type="dxa" w:w="80"/>
              <w:bottom w:type="dxa" w:w="60"/>
              <w:right w:type="dxa" w:w="80"/>
            </w:tcMar>
            <w:vAlign w:val="center"/>
          </w:tcPr>
          <w:p>
            <w:pPr>
              <w:spacing w:after="0" w:line="276"/>
            </w:pPr>
            <w:r>
              <w:t xml:space="preserve">신규</w:t>
            </w:r>
          </w:p>
        </w:tc>
        <w:tc>
          <w:tcPr>
            <w:tcW w:type="dxa" w:w="6126"/>
            <w:tcMar>
              <w:top w:type="dxa" w:w="60"/>
              <w:left w:type="dxa" w:w="80"/>
              <w:bottom w:type="dxa" w:w="60"/>
              <w:right w:type="dxa" w:w="80"/>
            </w:tcMar>
            <w:vAlign w:val="center"/>
          </w:tcPr>
          <w:p>
            <w:pPr>
              <w:spacing w:after="0" w:line="276"/>
            </w:pPr>
            <w:r>
              <w:t xml:space="preserve">정확도·결측·이상치 등 품질을 형식 어휘로 기술</w:t>
            </w:r>
          </w:p>
        </w:tc>
      </w:tr>
      <w:tr>
        <w:tc>
          <w:tcPr>
            <w:tcW w:type="dxa" w:w="1800"/>
            <w:tcMar>
              <w:top w:type="dxa" w:w="60"/>
              <w:left w:type="dxa" w:w="80"/>
              <w:bottom w:type="dxa" w:w="60"/>
              <w:right w:type="dxa" w:w="80"/>
            </w:tcMar>
            <w:vAlign w:val="center"/>
          </w:tcPr>
          <w:p>
            <w:pPr>
              <w:spacing w:after="0" w:line="276"/>
            </w:pPr>
            <w:r>
              <w:t xml:space="preserve">접근/사용 제약</w:t>
            </w:r>
          </w:p>
        </w:tc>
        <w:tc>
          <w:tcPr>
            <w:tcW w:type="dxa" w:w="1100"/>
            <w:tcMar>
              <w:top w:type="dxa" w:w="60"/>
              <w:left w:type="dxa" w:w="80"/>
              <w:bottom w:type="dxa" w:w="60"/>
              <w:right w:type="dxa" w:w="80"/>
            </w:tcMar>
            <w:vAlign w:val="center"/>
          </w:tcPr>
          <w:p>
            <w:pPr>
              <w:spacing w:after="0" w:line="276"/>
            </w:pPr>
            <w:r>
              <w:t xml:space="preserve">신규</w:t>
            </w:r>
          </w:p>
        </w:tc>
        <w:tc>
          <w:tcPr>
            <w:tcW w:type="dxa" w:w="6126"/>
            <w:tcMar>
              <w:top w:type="dxa" w:w="60"/>
              <w:left w:type="dxa" w:w="80"/>
              <w:bottom w:type="dxa" w:w="60"/>
              <w:right w:type="dxa" w:w="80"/>
            </w:tcMar>
            <w:vAlign w:val="center"/>
          </w:tcPr>
          <w:p>
            <w:pPr>
              <w:spacing w:after="0" w:line="276"/>
            </w:pPr>
            <w:r>
              <w:t xml:space="preserve">라이선스·접근 권한·이용 조건을 데이터에 결합</w:t>
            </w:r>
          </w:p>
        </w:tc>
      </w:tr>
    </w:tbl>
    <w:p>
      <w:pPr>
        <w:pStyle w:val="Heading1"/>
      </w:pPr>
      <w:r>
        <w:t xml:space="preserve">2. 먼저 알아두면 좋은 표준과 어휘</w:t>
      </w:r>
    </w:p>
    <w:p>
      <w:pPr>
        <w:pStyle w:val="Heading2"/>
      </w:pPr>
      <w:r>
        <w:t xml:space="preserve">2.1 의미 표현의 기초 — RDF · IRI · JSON-LD</w:t>
      </w:r>
    </w:p>
    <w:p>
      <w:pPr>
        <w:spacing w:after="140" w:line="300"/>
      </w:pPr>
      <w:r>
        <w:t>AI-Ready 표현의 바탕에는 W3C의 RDF 데이터 모델이 있다. RDF는 모든 사실을 ‘주어–서술어–목적어’ 트리플로 적고, 각 개념을 IRI(웹 주소 형태의 고유 이름)로 가리켜 누구나 같은 개념을 같은 주소로 참조하게 한다. 이를 파일로 적는 형식이 직렬화인데, 기존 JSON에 의미를 더하는 JSON-LD의 @context는 ‘이 JSON 키들이 어떤 IRI를 가리키는지’를 알려주어, 기존 데이터를 거의 그대로 둔 채 의미만 입히는 최소 전환 장치다.</w:t>
      </w:r>
    </w:p>
    <w:p>
      <w:pPr>
        <w:pStyle w:val="Heading2"/>
      </w:pPr>
      <w:r>
        <w:t xml:space="preserve">2.2 핵심 어휘</w:t>
      </w:r>
    </w:p>
    <w:p>
      <w:pPr>
        <w:spacing w:after="140" w:line="300"/>
      </w:pPr>
      <w:r>
        <w:rPr>
          <w:b/>
          <w:bCs/>
        </w:rPr>
        <w:t xml:space="preserve">DCAT v3 · schema.org · SKOS (W3C · community)</w:t>
      </w:r>
      <w:r>
        <w:t xml:space="preserve"> DCAT는 데이터셋·배포본을 기술하는 카탈로그 어휘(dcat:Dataset·dcat:distribution·dct:title 등), schema.org는 범용 의미 어휘, SKOS는 통제어·분류체계를 표현하는 어휘다.</w:t>
      </w:r>
    </w:p>
    <w:p>
      <w:pPr>
        <w:spacing w:after="140" w:line="300"/>
      </w:pPr>
      <w:r>
        <w:rPr>
          <w:b/>
          <w:bCs/>
        </w:rPr>
        <w:t xml:space="preserve">PROV-O (W3C)</w:t>
      </w:r>
      <w:r>
        <w:t xml:space="preserve"> 데이터의 출처·생성 이력(계보)을 표현하는 표준. prov:Activity·prov:wasGeneratedBy·wasDerivedFrom·wasAttributedTo로 ‘무엇이 어떤 활동으로 누구에 의해 생성·파생됐는가’를 그래프로 남긴다.</w:t>
      </w:r>
    </w:p>
    <w:p>
      <w:pPr>
        <w:spacing w:after="140" w:line="300"/>
      </w:pPr>
      <w:r>
        <w:rPr>
          <w:b/>
          <w:bCs/>
        </w:rPr>
        <w:t xml:space="preserve">DQV · SHACL (W3C)</w:t>
      </w:r>
      <w:r>
        <w:t xml:space="preserve"> DQV는 데이터 품질을 형식적으로 기술하는 어휘(dqv:Dimension·dqv:QualityMeasurement)이고, SHACL은 RDF가 규칙(필수 항목·값 범위·열거값)을 지키는지 자동 검증하는 표준이다.</w:t>
      </w:r>
    </w:p>
    <w:p>
      <w:pPr>
        <w:spacing w:after="140" w:line="300"/>
      </w:pPr>
      <w:r>
        <w:rPr>
          <w:b/>
          <w:bCs/>
        </w:rPr>
        <w:t xml:space="preserve">QUDT/UCUM · Croissant · ODRL (QUDT.org · MLCommons · W3C)</w:t>
      </w:r>
      <w:r>
        <w:t xml:space="preserve"> QUDT/UCUM은 단위·물리량을 IRI 또는 파싱 가능한 코드로, Croissant는 ML 데이터셋을 JSON-LD로 포장하는 형식, ODRL은 라이선스·이용 조건을 기계가 추론할 정책으로 표현한다.</w:t>
      </w:r>
    </w:p>
    <w:p>
      <w:pPr>
        <w:pStyle w:val="Heading1"/>
      </w:pPr>
      <w:r>
        <w:t xml:space="preserve">3. 7개 구성요소별 상세 분석</w:t>
      </w:r>
    </w:p>
    <w:p>
      <w:pPr>
        <w:spacing w:after="140" w:line="300"/>
      </w:pPr>
      <w:r>
        <w:t xml:space="preserve">각 구성요소마다 ‘현재 상태(이 표준의 실제 요소를 들어) → 무엇이 부족한가 → 어떻게 바꾸나’ 순서로 분석한다. 필요한 곳에는 전환 예시(JSON-LD·PROV-O 등)를 덧붙인다.</w:t>
      </w:r>
    </w:p>
    <w:p>
      <w:pPr>
        <w:pStyle w:val="Heading2"/>
      </w:pPr>
      <w:r>
        <w:t xml:space="preserve">3.1 시맨틱 (2 · 충족)</w:t>
      </w:r>
    </w:p>
    <w:p>
      <w:pPr>
        <w:spacing w:after="140" w:line="300"/>
      </w:pPr>
      <w:r>
        <w:t xml:space="preserve">6.1.1 @context로 W3C 컨텍스트와 자체 IRI 'https://www.kisa.or.kr/2021/credentials/user_identity/v1'을, type='UserIdentification', id를 DID로 선언해 핵심 개념이 전역 어휘에 바인딩된다. 단 자체 IRI는 예제마다 오기되고 실제 게시 여부가 불확실하다.</w:t>
      </w:r>
    </w:p>
    <w:p>
      <w:pPr>
        <w:spacing w:after="140" w:line="300"/>
      </w:pPr>
      <w:r>
        <w:t xml:space="preserve">자체 컨텍스트 문서를 명시 URI에 실게시하고 'user_identtity'·공백 오기를 전면 교정한다. firstName/lastName/birthDate/address 등 확장 속성을 schema.org(givenName/familyName/birthDate/address) 또는 명시 IRI에 매핑해 로컬 용어의 전역 의미를 고정한다.</w:t>
      </w:r>
    </w:p>
    <w:p>
      <w:pPr>
        <w:pStyle w:val="Heading2"/>
      </w:pPr>
      <w:r>
        <w:t>3.2 데이터 모델 (1 · 부분)</w:t>
      </w:r>
    </w:p>
    <w:p>
      <w:pPr>
        <w:spacing w:after="140" w:line="300"/>
      </w:pPr>
      <w:r>
        <w:t>VC 클레임 값 타입·@context를 정의하나(‘user_identtity’ 오기는 검토 참조) 형식 스키마는 부분적이다.</w:t>
      </w:r>
    </w:p>
    <w:p>
      <w:pPr>
        <w:spacing w:after="140" w:line="300"/>
      </w:pPr>
      <w:r>
        <w:t>클레임 값 제약을 SHACL로 형식화한다.</w:t>
      </w:r>
    </w:p>
    <w:p>
      <w:pPr>
        <w:pStyle w:val="Heading2"/>
      </w:pPr>
      <w:r>
        <w:t xml:space="preserve">3.3 신태틱 (2 · 충족)</w:t>
      </w:r>
    </w:p>
    <w:p>
      <w:pPr>
        <w:spacing w:after="140" w:line="300"/>
      </w:pPr>
      <w:r>
        <w:t xml:space="preserve">모든 예제가 @context 포함 JSON-LD이며 RFC 3339·Base64·data URL 등 값 직렬화 규범을 제시해 규범 직렬화를 제공한다. 그러나 표 6-40 콤마 누락 등 비유효 JSON 예제가 섞인다.</w:t>
      </w:r>
    </w:p>
    <w:p>
      <w:pPr>
        <w:spacing w:after="140" w:line="300"/>
      </w:pPr>
      <w:r>
        <w:t xml:space="preserve">모든 예제를 유효 JSON-LD로 정정하고 JSON Schema 또는 SHACL로 검증 가능한 정규 예제를 부록에 추가해 직렬화 규범의 기계 검증성을 확보한다.</w:t>
      </w:r>
    </w:p>
    <w:p>
      <w:pPr>
        <w:pStyle w:val="Heading2"/>
      </w:pPr>
      <w:r>
        <w:t>3.4 운영 시맨틱 (비해당 · N/A)</w:t>
      </w:r>
    </w:p>
    <w:p>
      <w:pPr>
        <w:spacing w:after="140" w:line="300"/>
      </w:pPr>
      <w:r>
        <w:t>이 표준은 검증가능 크리덴셜 신원 프로파일을 기술할 뿐 AI/ML 학습·검증 사용 방식(split·feature/label)을 정의하는 표준이 아니므로 운영 시맨틱은 비해당(N/A)이다.</w:t>
      </w:r>
    </w:p>
    <w:p>
      <w:pPr>
        <w:spacing w:after="140" w:line="300"/>
      </w:pPr>
      <w:r>
        <w:t>해당 데이터를 ML에 사용할 경우, 원본 표준이 아니라 Croissant 포장 계층에서 split·역할을 선언한다(관심사 분리).</w:t>
      </w:r>
    </w:p>
    <w:p>
      <w:pPr>
        <w:pStyle w:val="Heading2"/>
      </w:pPr>
      <w:r>
        <w:t xml:space="preserve">3.5 출처/계보 (1 · 부분)</w:t>
      </w:r>
    </w:p>
    <w:p>
      <w:pPr>
        <w:spacing w:after="140" w:line="300"/>
      </w:pPr>
      <w:r>
        <w:t xml:space="preserve">issuer·issuanceDate·proof와 evidence/evidenceDocument(표 6-16)로 발급 출처와 발급 전 신원확인 수단을 일부 기록하나 PROV-O 등 계보 형식이 없다.</w:t>
      </w:r>
    </w:p>
    <w:p>
      <w:pPr>
        <w:spacing w:after="140" w:line="300"/>
      </w:pPr>
      <w:r>
        <w:t xml:space="preserve">evidence를 prov:Activity, issuer를 prov:Agent, VC를 prov:Entity로 보아 PROV-O로 발급·확인 계보를 형식화하고, 신원확인 방법(대면/비대면)을 계보 속성으로 표준화한다.</w:t>
      </w:r>
    </w:p>
    <w:p>
      <w:pPr>
        <w:pStyle w:val="Heading2"/>
      </w:pPr>
      <w:r>
        <w:t xml:space="preserve">3.6 품질 프로파일 (0 · 미충족)</w:t>
      </w:r>
    </w:p>
    <w:p>
      <w:pPr>
        <w:spacing w:after="140" w:line="300"/>
      </w:pPr>
      <w:r>
        <w:t xml:space="preserve">품질 차원이 부재하다. credentialStatus(6.1.7)는 만료·취소 상태일 뿐 정확도·완전성·신선도 등 데이터 품질 신호나 DQV 표기가 없다.</w:t>
      </w:r>
    </w:p>
    <w:p>
      <w:pPr>
        <w:spacing w:after="140" w:line="300"/>
      </w:pPr>
      <w:r>
        <w:t xml:space="preserve">신원 자격증명 문맥상 DQV 도입은 비적합에 가까우나, 굳이 둔다면 발급 검증 강도(evidence 신뢰수준)를 dqv:QualityMeasurement로 표기하는 수준에 그친다. 이 차원은 잣대의 한계로 명시한다.</w:t>
      </w:r>
    </w:p>
    <w:p>
      <w:pPr>
        <w:pStyle w:val="Heading2"/>
      </w:pPr>
      <w:r>
        <w:t xml:space="preserve">3.7 접근/사용 제약 (1 · 부분)</w:t>
      </w:r>
    </w:p>
    <w:p>
      <w:pPr>
        <w:spacing w:after="140" w:line="300"/>
      </w:pPr>
      <w:r>
        <w:t xml:space="preserve">표지 TTA 저작권 고지와 termsOfUse(6.1.8, IssuerPolicy/HolderPolicy + profile URI)로 약관 링크 수준의 제약만 존재하고 데이터 수준 정책이 기계가독으로 없다.</w:t>
      </w:r>
    </w:p>
    <w:p>
      <w:pPr>
        <w:spacing w:after="140" w:line="300"/>
      </w:pPr>
      <w:r>
        <w:t xml:space="preserve">termsOfUse를 ODRL Policy(permission/prohibition/duty)로 형식화해 발급자·소유자 정책을 기계가독으로 표현하고, 프로파일 배포 메타데이터에 DCAT v3 라이선스·접근권을 부여한다.</w:t>
      </w:r>
    </w:p>
    <w:p>
      <w:pPr>
        <w:pStyle w:val="Heading1"/>
      </w:pPr>
      <w:r>
        <w:t xml:space="preserve">4. 권고하는 전환 방식</w:t>
      </w:r>
    </w:p>
    <w:p>
      <w:pPr>
        <w:spacing w:after="140" w:line="300"/>
      </w:pPr>
      <w:r>
        <w:t xml:space="preserve">권고 전환 순서는 (1) 2절 인용표준에 W3C DID v1.0·RFC 3339/4648/2397/5322/5234·ISO 3166-1·WebIDL을 규범 인용으로 승격, (2) 자체 컨텍스트 IRI 실게시 및 'user_identtity'·firstName/lastName 역전 등 오기·역전 일괄 교정, (3) 확장 속성의 schema.org 매핑과 SHACL 형상 정의, (4) enum의 폐쇄형 SKOS화 및 String 토큰 제거, (5) evidence의 PROV-O·termsOfUse의 ODRL 승격이다. (1)~(2)는 상호운용 차단을 즉시 해소하는 필수 선행 조치이며, (3)~(5)는 AI-Ready 형식화 단계다.</w:t>
      </w:r>
    </w:p>
    <w:p>
      <w:pPr>
        <w:pStyle w:val="Heading1"/>
      </w:pPr>
      <w:r>
        <w:t xml:space="preserve">5. 요약 로드맵</w:t>
      </w:r>
    </w:p>
    <w:p>
      <w:pPr>
        <w:spacing w:after="140" w:line="300"/>
      </w:pPr>
      <w:r>
        <w:t xml:space="preserve">7개 구성요소별 연결 표준·핵심 조치·현재 등급을 정리하면 다음과 같다.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ook w:firstRow="1"/>
      </w:tblPr>
      <w:tblGrid>
        <w:gridCol w:w="1700"/>
        <w:gridCol w:w="2300"/>
        <w:gridCol w:w="3526"/>
        <w:gridCol w:w="1500"/>
      </w:tblGrid>
      <w:tr>
        <w:trPr>
          <w:tblHeader/>
        </w:trPr>
        <w:tc>
          <w:tcPr>
            <w:tcW w:type="dxa" w:w="1700"/>
            <w:shd w:fill="2E5496" w:val="clear"/>
            <w:tcMar>
              <w:top w:type="dxa" w:w="60"/>
              <w:left w:type="dxa" w:w="80"/>
              <w:bottom w:type="dxa" w:w="60"/>
              <w:right w:type="dxa" w:w="80"/>
            </w:tcMar>
            <w:vAlign w:val="center"/>
          </w:tcPr>
          <w:p>
            <w:pPr>
              <w:spacing w:after="0" w:line="276"/>
              <w:jc w:val="center"/>
            </w:pPr>
            <w:r>
              <w:rPr>
                <w:b/>
                <w:bCs/>
                <w:color w:val="FFFFFF"/>
              </w:rPr>
              <w:t xml:space="preserve">구성요소</w:t>
            </w:r>
          </w:p>
        </w:tc>
        <w:tc>
          <w:tcPr>
            <w:tcW w:type="dxa" w:w="2300"/>
            <w:shd w:fill="2E5496" w:val="clear"/>
            <w:tcMar>
              <w:top w:type="dxa" w:w="60"/>
              <w:left w:type="dxa" w:w="80"/>
              <w:bottom w:type="dxa" w:w="60"/>
              <w:right w:type="dxa" w:w="80"/>
            </w:tcMar>
            <w:vAlign w:val="center"/>
          </w:tcPr>
          <w:p>
            <w:pPr>
              <w:spacing w:after="0" w:line="276"/>
              <w:jc w:val="center"/>
            </w:pPr>
            <w:r>
              <w:rPr>
                <w:b/>
                <w:bCs/>
                <w:color w:val="FFFFFF"/>
              </w:rPr>
              <w:t xml:space="preserve">연결 표준</w:t>
            </w:r>
          </w:p>
        </w:tc>
        <w:tc>
          <w:tcPr>
            <w:tcW w:type="dxa" w:w="3526"/>
            <w:shd w:fill="2E5496" w:val="clear"/>
            <w:tcMar>
              <w:top w:type="dxa" w:w="60"/>
              <w:left w:type="dxa" w:w="80"/>
              <w:bottom w:type="dxa" w:w="60"/>
              <w:right w:type="dxa" w:w="80"/>
            </w:tcMar>
            <w:vAlign w:val="center"/>
          </w:tcPr>
          <w:p>
            <w:pPr>
              <w:spacing w:after="0" w:line="276"/>
              <w:jc w:val="center"/>
            </w:pPr>
            <w:r>
              <w:rPr>
                <w:b/>
                <w:bCs/>
                <w:color w:val="FFFFFF"/>
              </w:rPr>
              <w:t xml:space="preserve">핵심 조치</w:t>
            </w:r>
          </w:p>
        </w:tc>
        <w:tc>
          <w:tcPr>
            <w:tcW w:type="dxa" w:w="1500"/>
            <w:shd w:fill="2E5496" w:val="clear"/>
            <w:tcMar>
              <w:top w:type="dxa" w:w="60"/>
              <w:left w:type="dxa" w:w="80"/>
              <w:bottom w:type="dxa" w:w="60"/>
              <w:right w:type="dxa" w:w="80"/>
            </w:tcMar>
            <w:vAlign w:val="center"/>
          </w:tcPr>
          <w:p>
            <w:pPr>
              <w:spacing w:after="0" w:line="276"/>
              <w:jc w:val="center"/>
            </w:pPr>
            <w:r>
              <w:rPr>
                <w:b/>
                <w:bCs/>
                <w:color w:val="FFFFFF"/>
              </w:rPr>
              <w:t xml:space="preserve">현재 등급</w:t>
            </w:r>
          </w:p>
        </w:tc>
      </w:tr>
      <w:tr>
        <w:tc>
          <w:tcPr>
            <w:tcW w:type="dxa" w:w="1700"/>
            <w:tcMar>
              <w:top w:type="dxa" w:w="60"/>
              <w:left w:type="dxa" w:w="80"/>
              <w:bottom w:type="dxa" w:w="60"/>
              <w:right w:type="dxa" w:w="80"/>
            </w:tcMar>
            <w:vAlign w:val="center"/>
          </w:tcPr>
          <w:p>
            <w:pPr>
              <w:spacing w:after="0" w:line="276"/>
            </w:pPr>
            <w:r>
              <w:t xml:space="preserve">시맨틱</w:t>
            </w:r>
          </w:p>
        </w:tc>
        <w:tc>
          <w:tcPr>
            <w:tcW w:type="dxa" w:w="2300"/>
            <w:tcMar>
              <w:top w:type="dxa" w:w="60"/>
              <w:left w:type="dxa" w:w="80"/>
              <w:bottom w:type="dxa" w:w="60"/>
              <w:right w:type="dxa" w:w="80"/>
            </w:tcMar>
            <w:vAlign w:val="center"/>
          </w:tcPr>
          <w:p>
            <w:pPr>
              <w:spacing w:after="0" w:line="276"/>
            </w:pPr>
            <w:r>
              <w:t xml:space="preserve">W3C VC Data Model / DID core / schema.org Person</w:t>
            </w:r>
          </w:p>
        </w:tc>
        <w:tc>
          <w:tcPr>
            <w:tcW w:type="dxa" w:w="3526"/>
            <w:tcMar>
              <w:top w:type="dxa" w:w="60"/>
              <w:left w:type="dxa" w:w="80"/>
              <w:bottom w:type="dxa" w:w="60"/>
              <w:right w:type="dxa" w:w="80"/>
            </w:tcMar>
            <w:vAlign w:val="center"/>
          </w:tcPr>
          <w:p>
            <w:pPr>
              <w:spacing w:after="0" w:line="276"/>
            </w:pPr>
            <w:r>
              <w:t>의미·상하/포함 관계를 어휘 IRI에 바인딩</w:t>
            </w:r>
          </w:p>
        </w:tc>
        <w:tc>
          <w:tcPr>
            <w:tcW w:type="dxa" w:w="1500"/>
            <w:tcMar>
              <w:top w:type="dxa" w:w="60"/>
              <w:left w:type="dxa" w:w="80"/>
              <w:bottom w:type="dxa" w:w="60"/>
              <w:right w:type="dxa" w:w="80"/>
            </w:tcMar>
            <w:vAlign w:val="center"/>
          </w:tcPr>
          <w:p>
            <w:pPr>
              <w:spacing w:after="0" w:line="276"/>
            </w:pPr>
            <w:r>
              <w:t xml:space="preserve">2 · 충족</w:t>
            </w:r>
          </w:p>
        </w:tc>
      </w:tr>
      <w:tr>
        <w:tc>
          <w:tcPr>
            <w:tcW w:type="dxa" w:w="1700"/>
            <w:tcMar>
              <w:top w:type="dxa" w:w="60"/>
              <w:left w:type="dxa" w:w="80"/>
              <w:bottom w:type="dxa" w:w="60"/>
              <w:right w:type="dxa" w:w="80"/>
            </w:tcMar>
            <w:vAlign w:val="center"/>
          </w:tcPr>
          <w:p>
            <w:pPr>
              <w:spacing w:after="0" w:line="276"/>
            </w:pPr>
            <w:r>
              <w:t xml:space="preserve">데이터 모델</w:t>
            </w:r>
          </w:p>
        </w:tc>
        <w:tc>
          <w:tcPr>
            <w:tcW w:type="dxa" w:w="2300"/>
            <w:tcMar>
              <w:top w:type="dxa" w:w="60"/>
              <w:left w:type="dxa" w:w="80"/>
              <w:bottom w:type="dxa" w:w="60"/>
              <w:right w:type="dxa" w:w="80"/>
            </w:tcMar>
            <w:vAlign w:val="center"/>
          </w:tcPr>
          <w:p>
            <w:pPr>
              <w:spacing w:after="0" w:line="276"/>
            </w:pPr>
            <w:r>
              <w:t>XSD·SHACL·JSON Schema</w:t>
            </w:r>
          </w:p>
        </w:tc>
        <w:tc>
          <w:tcPr>
            <w:tcW w:type="dxa" w:w="3526"/>
            <w:tcMar>
              <w:top w:type="dxa" w:w="60"/>
              <w:left w:type="dxa" w:w="80"/>
              <w:bottom w:type="dxa" w:w="60"/>
              <w:right w:type="dxa" w:w="80"/>
            </w:tcMar>
            <w:vAlign w:val="center"/>
          </w:tcPr>
          <w:p>
            <w:pPr>
              <w:spacing w:after="0" w:line="276"/>
            </w:pPr>
            <w:r>
              <w:t>값 유형·제약·반복을 스키마로 형식화</w:t>
            </w:r>
          </w:p>
        </w:tc>
        <w:tc>
          <w:tcPr>
            <w:tcW w:type="dxa" w:w="1500"/>
            <w:tcMar>
              <w:top w:type="dxa" w:w="60"/>
              <w:left w:type="dxa" w:w="80"/>
              <w:bottom w:type="dxa" w:w="60"/>
              <w:right w:type="dxa" w:w="80"/>
            </w:tcMar>
            <w:vAlign w:val="center"/>
          </w:tcPr>
          <w:p>
            <w:pPr>
              <w:spacing w:after="0" w:line="276"/>
            </w:pPr>
            <w:r>
              <w:t>1 · 부분</w:t>
            </w:r>
          </w:p>
        </w:tc>
      </w:tr>
      <w:tr>
        <w:tc>
          <w:tcPr>
            <w:tcW w:type="dxa" w:w="1700"/>
            <w:tcMar>
              <w:top w:type="dxa" w:w="60"/>
              <w:left w:type="dxa" w:w="80"/>
              <w:bottom w:type="dxa" w:w="60"/>
              <w:right w:type="dxa" w:w="80"/>
            </w:tcMar>
            <w:vAlign w:val="center"/>
          </w:tcPr>
          <w:p>
            <w:pPr>
              <w:spacing w:after="0" w:line="276"/>
            </w:pPr>
            <w:r>
              <w:t xml:space="preserve">신태틱</w:t>
            </w:r>
          </w:p>
        </w:tc>
        <w:tc>
          <w:tcPr>
            <w:tcW w:type="dxa" w:w="2300"/>
            <w:tcMar>
              <w:top w:type="dxa" w:w="60"/>
              <w:left w:type="dxa" w:w="80"/>
              <w:bottom w:type="dxa" w:w="60"/>
              <w:right w:type="dxa" w:w="80"/>
            </w:tcMar>
            <w:vAlign w:val="center"/>
          </w:tcPr>
          <w:p>
            <w:pPr>
              <w:spacing w:after="0" w:line="276"/>
            </w:pPr>
            <w:r>
              <w:t xml:space="preserve">JSON-LD / W3C VC</w:t>
            </w:r>
          </w:p>
        </w:tc>
        <w:tc>
          <w:tcPr>
            <w:tcW w:type="dxa" w:w="3526"/>
            <w:tcMar>
              <w:top w:type="dxa" w:w="60"/>
              <w:left w:type="dxa" w:w="80"/>
              <w:bottom w:type="dxa" w:w="60"/>
              <w:right w:type="dxa" w:w="80"/>
            </w:tcMar>
            <w:vAlign w:val="center"/>
          </w:tcPr>
          <w:p>
            <w:pPr>
              <w:spacing w:after="0" w:line="276"/>
            </w:pPr>
            <w:r>
              <w:t xml:space="preserve">모든 예제를 유효 JSON-LD로 정정하고 JSON Schema 또는 SHACL로 검증 가능한…</w:t>
            </w:r>
          </w:p>
        </w:tc>
        <w:tc>
          <w:tcPr>
            <w:tcW w:type="dxa" w:w="1500"/>
            <w:tcMar>
              <w:top w:type="dxa" w:w="60"/>
              <w:left w:type="dxa" w:w="80"/>
              <w:bottom w:type="dxa" w:w="60"/>
              <w:right w:type="dxa" w:w="80"/>
            </w:tcMar>
            <w:vAlign w:val="center"/>
          </w:tcPr>
          <w:p>
            <w:pPr>
              <w:spacing w:after="0" w:line="276"/>
            </w:pPr>
            <w:r>
              <w:t xml:space="preserve">2 · 충족</w:t>
            </w:r>
          </w:p>
        </w:tc>
      </w:tr>
      <w:tr>
        <w:tc>
          <w:tcPr>
            <w:tcW w:type="dxa" w:w="1700"/>
            <w:tcMar>
              <w:top w:type="dxa" w:w="60"/>
              <w:left w:type="dxa" w:w="80"/>
              <w:bottom w:type="dxa" w:w="60"/>
              <w:right w:type="dxa" w:w="80"/>
            </w:tcMar>
            <w:vAlign w:val="center"/>
          </w:tcPr>
          <w:p>
            <w:pPr>
              <w:spacing w:after="0" w:line="276"/>
            </w:pPr>
            <w:r>
              <w:t xml:space="preserve">운영 시맨틱</w:t>
            </w:r>
          </w:p>
        </w:tc>
        <w:tc>
          <w:tcPr>
            <w:tcW w:type="dxa" w:w="2300"/>
            <w:tcMar>
              <w:top w:type="dxa" w:w="60"/>
              <w:left w:type="dxa" w:w="80"/>
              <w:bottom w:type="dxa" w:w="60"/>
              <w:right w:type="dxa" w:w="80"/>
            </w:tcMar>
            <w:vAlign w:val="center"/>
          </w:tcPr>
          <w:p>
            <w:pPr>
              <w:spacing w:after="0" w:line="276"/>
            </w:pPr>
            <w:r>
              <w:t>Croissant 1.0</w:t>
            </w:r>
          </w:p>
        </w:tc>
        <w:tc>
          <w:tcPr>
            <w:tcW w:type="dxa" w:w="3526"/>
            <w:tcMar>
              <w:top w:type="dxa" w:w="60"/>
              <w:left w:type="dxa" w:w="80"/>
              <w:bottom w:type="dxa" w:w="60"/>
              <w:right w:type="dxa" w:w="80"/>
            </w:tcMar>
            <w:vAlign w:val="center"/>
          </w:tcPr>
          <w:p>
            <w:pPr>
              <w:spacing w:after="0" w:line="276"/>
            </w:pPr>
            <w:r>
              <w:t>비해당 — ML 사용 시 Croissant 포장 계층</w:t>
            </w:r>
          </w:p>
        </w:tc>
        <w:tc>
          <w:tcPr>
            <w:tcW w:type="dxa" w:w="1500"/>
            <w:tcMar>
              <w:top w:type="dxa" w:w="60"/>
              <w:left w:type="dxa" w:w="80"/>
              <w:bottom w:type="dxa" w:w="60"/>
              <w:right w:type="dxa" w:w="80"/>
            </w:tcMar>
            <w:vAlign w:val="center"/>
          </w:tcPr>
          <w:p>
            <w:pPr>
              <w:spacing w:after="0" w:line="276"/>
            </w:pPr>
            <w:r>
              <w:t>비해당 · N/A</w:t>
            </w:r>
          </w:p>
        </w:tc>
      </w:tr>
      <w:tr>
        <w:tc>
          <w:tcPr>
            <w:tcW w:type="dxa" w:w="1700"/>
            <w:tcMar>
              <w:top w:type="dxa" w:w="60"/>
              <w:left w:type="dxa" w:w="80"/>
              <w:bottom w:type="dxa" w:w="60"/>
              <w:right w:type="dxa" w:w="80"/>
            </w:tcMar>
            <w:vAlign w:val="center"/>
          </w:tcPr>
          <w:p>
            <w:pPr>
              <w:spacing w:after="0" w:line="276"/>
            </w:pPr>
            <w:r>
              <w:t xml:space="preserve">출처/계보</w:t>
            </w:r>
          </w:p>
        </w:tc>
        <w:tc>
          <w:tcPr>
            <w:tcW w:type="dxa" w:w="2300"/>
            <w:tcMar>
              <w:top w:type="dxa" w:w="60"/>
              <w:left w:type="dxa" w:w="80"/>
              <w:bottom w:type="dxa" w:w="60"/>
              <w:right w:type="dxa" w:w="80"/>
            </w:tcMar>
            <w:vAlign w:val="center"/>
          </w:tcPr>
          <w:p>
            <w:pPr>
              <w:spacing w:after="0" w:line="276"/>
            </w:pPr>
            <w:r>
              <w:t xml:space="preserve">PROV-O</w:t>
            </w:r>
          </w:p>
        </w:tc>
        <w:tc>
          <w:tcPr>
            <w:tcW w:type="dxa" w:w="3526"/>
            <w:tcMar>
              <w:top w:type="dxa" w:w="60"/>
              <w:left w:type="dxa" w:w="80"/>
              <w:bottom w:type="dxa" w:w="60"/>
              <w:right w:type="dxa" w:w="80"/>
            </w:tcMar>
            <w:vAlign w:val="center"/>
          </w:tcPr>
          <w:p>
            <w:pPr>
              <w:spacing w:after="0" w:line="276"/>
            </w:pPr>
            <w:r>
              <w:t xml:space="preserve">evidence를 prov:Activity, issuer를 prov:Agent, VC를 pro…</w:t>
            </w:r>
          </w:p>
        </w:tc>
        <w:tc>
          <w:tcPr>
            <w:tcW w:type="dxa" w:w="1500"/>
            <w:tcMar>
              <w:top w:type="dxa" w:w="60"/>
              <w:left w:type="dxa" w:w="80"/>
              <w:bottom w:type="dxa" w:w="60"/>
              <w:right w:type="dxa" w:w="80"/>
            </w:tcMar>
            <w:vAlign w:val="center"/>
          </w:tcPr>
          <w:p>
            <w:pPr>
              <w:spacing w:after="0" w:line="276"/>
            </w:pPr>
            <w:r>
              <w:t xml:space="preserve">1 · 부분</w:t>
            </w:r>
          </w:p>
        </w:tc>
      </w:tr>
      <w:tr>
        <w:tc>
          <w:tcPr>
            <w:tcW w:type="dxa" w:w="1700"/>
            <w:tcMar>
              <w:top w:type="dxa" w:w="60"/>
              <w:left w:type="dxa" w:w="80"/>
              <w:bottom w:type="dxa" w:w="60"/>
              <w:right w:type="dxa" w:w="80"/>
            </w:tcMar>
            <w:vAlign w:val="center"/>
          </w:tcPr>
          <w:p>
            <w:pPr>
              <w:spacing w:after="0" w:line="276"/>
            </w:pPr>
            <w:r>
              <w:t xml:space="preserve">품질 프로파일</w:t>
            </w:r>
          </w:p>
        </w:tc>
        <w:tc>
          <w:tcPr>
            <w:tcW w:type="dxa" w:w="2300"/>
            <w:tcMar>
              <w:top w:type="dxa" w:w="60"/>
              <w:left w:type="dxa" w:w="80"/>
              <w:bottom w:type="dxa" w:w="60"/>
              <w:right w:type="dxa" w:w="80"/>
            </w:tcMar>
            <w:vAlign w:val="center"/>
          </w:tcPr>
          <w:p>
            <w:pPr>
              <w:spacing w:after="0" w:line="276"/>
            </w:pPr>
            <w:r>
              <w:t xml:space="preserve">DQV</w:t>
            </w:r>
          </w:p>
        </w:tc>
        <w:tc>
          <w:tcPr>
            <w:tcW w:type="dxa" w:w="3526"/>
            <w:tcMar>
              <w:top w:type="dxa" w:w="60"/>
              <w:left w:type="dxa" w:w="80"/>
              <w:bottom w:type="dxa" w:w="60"/>
              <w:right w:type="dxa" w:w="80"/>
            </w:tcMar>
            <w:vAlign w:val="center"/>
          </w:tcPr>
          <w:p>
            <w:pPr>
              <w:spacing w:after="0" w:line="276"/>
            </w:pPr>
            <w:r>
              <w:t xml:space="preserve">신원 자격증명 문맥상 DQV 도입은 비적합에 가까우나, 굳이 둔다면 발급 검증 강도(evide…</w:t>
            </w:r>
          </w:p>
        </w:tc>
        <w:tc>
          <w:tcPr>
            <w:tcW w:type="dxa" w:w="1500"/>
            <w:tcMar>
              <w:top w:type="dxa" w:w="60"/>
              <w:left w:type="dxa" w:w="80"/>
              <w:bottom w:type="dxa" w:w="60"/>
              <w:right w:type="dxa" w:w="80"/>
            </w:tcMar>
            <w:vAlign w:val="center"/>
          </w:tcPr>
          <w:p>
            <w:pPr>
              <w:spacing w:after="0" w:line="276"/>
            </w:pPr>
            <w:r>
              <w:t xml:space="preserve">0 · 미충족</w:t>
            </w:r>
          </w:p>
        </w:tc>
      </w:tr>
      <w:tr>
        <w:tc>
          <w:tcPr>
            <w:tcW w:type="dxa" w:w="1700"/>
            <w:tcMar>
              <w:top w:type="dxa" w:w="60"/>
              <w:left w:type="dxa" w:w="80"/>
              <w:bottom w:type="dxa" w:w="60"/>
              <w:right w:type="dxa" w:w="80"/>
            </w:tcMar>
            <w:vAlign w:val="center"/>
          </w:tcPr>
          <w:p>
            <w:pPr>
              <w:spacing w:after="0" w:line="276"/>
            </w:pPr>
            <w:r>
              <w:t xml:space="preserve">접근/사용 제약</w:t>
            </w:r>
          </w:p>
        </w:tc>
        <w:tc>
          <w:tcPr>
            <w:tcW w:type="dxa" w:w="2300"/>
            <w:tcMar>
              <w:top w:type="dxa" w:w="60"/>
              <w:left w:type="dxa" w:w="80"/>
              <w:bottom w:type="dxa" w:w="60"/>
              <w:right w:type="dxa" w:w="80"/>
            </w:tcMar>
            <w:vAlign w:val="center"/>
          </w:tcPr>
          <w:p>
            <w:pPr>
              <w:spacing w:after="0" w:line="276"/>
            </w:pPr>
            <w:r>
              <w:t xml:space="preserve">ODRL / DCAT v3</w:t>
            </w:r>
          </w:p>
        </w:tc>
        <w:tc>
          <w:tcPr>
            <w:tcW w:type="dxa" w:w="3526"/>
            <w:tcMar>
              <w:top w:type="dxa" w:w="60"/>
              <w:left w:type="dxa" w:w="80"/>
              <w:bottom w:type="dxa" w:w="60"/>
              <w:right w:type="dxa" w:w="80"/>
            </w:tcMar>
            <w:vAlign w:val="center"/>
          </w:tcPr>
          <w:p>
            <w:pPr>
              <w:spacing w:after="0" w:line="276"/>
            </w:pPr>
            <w:r>
              <w:t xml:space="preserve">termsOfUse를 ODRL Policy(permission/prohibition/duty)…</w:t>
            </w:r>
          </w:p>
        </w:tc>
        <w:tc>
          <w:tcPr>
            <w:tcW w:type="dxa" w:w="1500"/>
            <w:tcMar>
              <w:top w:type="dxa" w:w="60"/>
              <w:left w:type="dxa" w:w="80"/>
              <w:bottom w:type="dxa" w:w="60"/>
              <w:right w:type="dxa" w:w="80"/>
            </w:tcMar>
            <w:vAlign w:val="center"/>
          </w:tcPr>
          <w:p>
            <w:pPr>
              <w:spacing w:after="0" w:line="276"/>
            </w:pPr>
            <w:r>
              <w:t xml:space="preserve">1 · 부분</w:t>
            </w:r>
          </w:p>
        </w:tc>
      </w:tr>
    </w:tbl>
    <w:p>
      <w:pPr>
        <w:pStyle w:val="Heading1"/>
      </w:pPr>
      <w:r>
        <w:t xml:space="preserve">6. 맺음말</w:t>
      </w:r>
    </w:p>
    <w:p>
      <w:pPr>
        <w:spacing w:after="140" w:line="300"/>
      </w:pPr>
      <w:r>
        <w:t>TTAK.KO-10.1561은 W3C VC/DID 어휘와 JSON-LD 직렬화에 실려 시맨틱·신태틱 차원에서 보정표 상위권에 해당하나, 이는 신원 자격증명 데이터 자체의 성격에서 비롯한 것이며 데이터셋 메타데이터 준비도와는 구분해야 한다. 품질 프로파일·접근제약·운영 시맨틱 같은 데이터셋 중심 차원은 이 표준에 본질적으로 비적합하거나 약하므로, AI-Ready 잣대가 신원·자격증명형 표준에서는 한계를 갖는다는 점을 분명히 한다. 따라서 우선 과제는 인용표준 보정과 IRI·예제 오기 교정으로 상호운용성을 확보하는 것이며, 형식 어휘 결합은 그 위에서 단계적으로 추진한다.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Malgun Gothic" w:cs="Malgun Gothic" w:eastAsia="Malgun Gothic" w:hAnsi="Malgun Gothic"/>
      <w:b/>
      <w:bCs/>
      <w:color w:val="1F3864"/>
      <w:sz w:val="26"/>
      <w:szCs w:val="26"/>
    </w:rPr>
  </w:style>
  <w:style w:type="paragraph" w:styleId="Heading2">
    <w:name w:val="Heading 2"/>
    <w:basedOn w:val="Normal"/>
    <w:next w:val="Normal"/>
    <w:qFormat/>
    <w:pPr>
      <w:spacing w:after="110" w:before="220"/>
      <w:outlineLvl w:val="1"/>
    </w:pPr>
    <w:rPr>
      <w:rFonts w:ascii="Malgun Gothic" w:cs="Malgun Gothic" w:eastAsia="Malgun Gothic" w:hAnsi="Malgun Gothic"/>
      <w:b/>
      <w:bCs/>
      <w:color w:val="2E5496"/>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2026-06-22T06:18:39.219Z</dcterms:created>
  <dcterms:modified xsi:type="dcterms:W3CDTF">2026-06-22T06:18:39.219Z</dcterms:modified>
</cp:coreProperties>
</file>

<file path=docProps/custom.xml><?xml version="1.0" encoding="utf-8"?>
<Properties xmlns="http://schemas.openxmlformats.org/officeDocument/2006/custom-properties" xmlns:vt="http://schemas.openxmlformats.org/officeDocument/2006/docPropsVTypes"/>
</file>