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40"/>
          <w:szCs w:val="40"/>
        </w:rPr>
        <w:t xml:space="preserve">표준 검토 의견서</w:t>
      </w:r>
    </w:p>
    <w:p>
      <w:pPr>
        <w:spacing w:after="40"/>
        <w:jc w:val="center"/>
      </w:pPr>
      <w:r>
        <w:rPr>
          <w:b/>
          <w:bCs/>
          <w:sz w:val="23"/>
          <w:szCs w:val="23"/>
        </w:rPr>
        <w:t xml:space="preserve">JSON 형태의 자율주행 학습용 데이터 품질 검증 지침 — 정확성 및 다양성</w:t>
      </w:r>
    </w:p>
    <w:p>
      <w:pPr>
        <w:spacing w:after="240"/>
        <w:jc w:val="center"/>
      </w:pPr>
      <w:r>
        <w:rPr>
          <w:color w:val="666666"/>
          <w:sz w:val="20"/>
          <w:szCs w:val="20"/>
        </w:rPr>
        <w:t xml:space="preserve">TTAK.KO-11.0310 (제정일 2022.12.07.) · PG604</w:t>
      </w:r>
    </w:p>
    <w:p>
      <w:pPr>
        <w:pStyle w:val="Heading1"/>
      </w:pPr>
      <w:r>
        <w:t xml:space="preserve">1. 검토 개요와 방법</w:t>
      </w:r>
    </w:p>
    <w:p>
      <w:pPr>
        <w:spacing w:after="140" w:line="300"/>
      </w:pPr>
      <w:r>
        <w:t xml:space="preserve">본 의견서는 표준 </w:t>
      </w:r>
      <w:r>
        <w:rPr>
          <w:b/>
          <w:bCs/>
        </w:rPr>
        <w:t xml:space="preserve">TTAK.KO-11.0310</w:t>
      </w:r>
      <w:r>
        <w:t xml:space="preserve">의 서문, 본문(목적·주요 내용·인용 표준·5장 검증 프로세스·6장 정확성/다양성 평가지표)을 검토한 결과다. 이 표준은 자율주행 학습용 JSON 데이터의 품질을 ‘정확성(구문적 정확성)’과 ‘다양성(통계적 충분성·균일성)’ 두 범주의 정량 지표로 검증하는 지침이다. 자체 완결적 지침이라 정합성 결함은 적으며, 핵심 과제는 ‘검증지표의 기계 실행 형식화’다.</w:t>
      </w:r>
    </w:p>
    <w:p>
      <w:pPr>
        <w:spacing w:after="140" w:line="300"/>
      </w:pPr>
      <w:r>
        <w:t xml:space="preserve">결함의 분류는 분석 카드의 표기와 일치시킨다. </w:t>
      </w:r>
      <w:r>
        <w:rPr>
          <w:b/>
          <w:bCs/>
        </w:rPr>
        <w:t xml:space="preserve">발견 Y</w:t>
      </w:r>
      <w:r>
        <w:t xml:space="preserve"> = 해당 유형 결함이 있음, </w:t>
      </w:r>
      <w:r>
        <w:rPr>
          <w:b/>
          <w:bCs/>
        </w:rPr>
        <w:t xml:space="preserve">N</w:t>
      </w:r>
      <w:r>
        <w:t xml:space="preserve"> = 검사 대상은 있으나 결함이 없음(통과), </w:t>
      </w:r>
      <w:r>
        <w:rPr>
          <w:b/>
          <w:bCs/>
        </w:rPr>
        <w:t xml:space="preserve">N/A</w:t>
      </w:r>
      <w:r>
        <w:t xml:space="preserve"> = 해당 유형 자체가 이 표준에 없음(비해당). 아래 요약 표에는 Y 항목만 싣고, 통과·비해당 항목은 3장에 따로 정리한다.</w:t>
      </w:r>
    </w:p>
    <w:p>
      <w:pPr>
        <w:pStyle w:val="Heading1"/>
      </w:pPr>
      <w:r>
        <w:t xml:space="preserve">2. 발견 사항 — 요약과 상세</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
        <w:gridCol w:w="1620"/>
        <w:gridCol w:w="3206"/>
        <w:gridCol w:w="2780"/>
        <w:gridCol w:w="860"/>
      </w:tblGrid>
      <w:tr>
        <w:trPr>
          <w:tblHeader/>
        </w:trPr>
        <w:tc>
          <w:tcPr>
            <w:tcW w:type="dxa" w:w="560"/>
            <w:tcBorders>
              <w:top w:val="single" w:color="BBBBBB" w:sz="1"/>
              <w:left w:val="single" w:color="BBBBBB" w:sz="1"/>
              <w:bottom w:val="single" w:color="BBBBBB" w:sz="1"/>
              <w:right w:val="single" w:color="BBBBBB" w:sz="1"/>
            </w:tcBorders>
            <w:shd w:fill="2E5496" w:val="clear"/>
            <w:tcMar>
              <w:top w:type="dxa" w:w="60"/>
              <w:left w:type="dxa" w:w="110"/>
              <w:bottom w:type="dxa" w:w="60"/>
              <w:right w:type="dxa" w:w="110"/>
            </w:tcMar>
            <w:vAlign w:val="center"/>
          </w:tcPr>
          <w:p>
            <w:r>
              <w:rPr>
                <w:b/>
                <w:bCs/>
                <w:color w:val="FFFFFF"/>
                <w:sz w:val="16"/>
                <w:szCs w:val="16"/>
              </w:rPr>
              <w:t xml:space="preserve">번호</w:t>
            </w:r>
          </w:p>
        </w:tc>
        <w:tc>
          <w:tcPr>
            <w:tcW w:type="dxa" w:w="1620"/>
            <w:tcBorders>
              <w:top w:val="single" w:color="BBBBBB" w:sz="1"/>
              <w:left w:val="single" w:color="BBBBBB" w:sz="1"/>
              <w:bottom w:val="single" w:color="BBBBBB" w:sz="1"/>
              <w:right w:val="single" w:color="BBBBBB" w:sz="1"/>
            </w:tcBorders>
            <w:shd w:fill="2E5496" w:val="clear"/>
            <w:tcMar>
              <w:top w:type="dxa" w:w="60"/>
              <w:left w:type="dxa" w:w="110"/>
              <w:bottom w:type="dxa" w:w="60"/>
              <w:right w:type="dxa" w:w="110"/>
            </w:tcMar>
            <w:vAlign w:val="center"/>
          </w:tcPr>
          <w:p>
            <w:r>
              <w:rPr>
                <w:b/>
                <w:bCs/>
                <w:color w:val="FFFFFF"/>
                <w:sz w:val="16"/>
                <w:szCs w:val="16"/>
              </w:rPr>
              <w:t xml:space="preserve">위치</w:t>
            </w:r>
          </w:p>
        </w:tc>
        <w:tc>
          <w:tcPr>
            <w:tcW w:type="dxa" w:w="3206"/>
            <w:tcBorders>
              <w:top w:val="single" w:color="BBBBBB" w:sz="1"/>
              <w:left w:val="single" w:color="BBBBBB" w:sz="1"/>
              <w:bottom w:val="single" w:color="BBBBBB" w:sz="1"/>
              <w:right w:val="single" w:color="BBBBBB" w:sz="1"/>
            </w:tcBorders>
            <w:shd w:fill="2E5496" w:val="clear"/>
            <w:tcMar>
              <w:top w:type="dxa" w:w="60"/>
              <w:left w:type="dxa" w:w="110"/>
              <w:bottom w:type="dxa" w:w="60"/>
              <w:right w:type="dxa" w:w="110"/>
            </w:tcMar>
            <w:vAlign w:val="center"/>
          </w:tcPr>
          <w:p>
            <w:r>
              <w:rPr>
                <w:b/>
                <w:bCs/>
                <w:color w:val="FFFFFF"/>
                <w:sz w:val="16"/>
                <w:szCs w:val="16"/>
              </w:rPr>
              <w:t xml:space="preserve">문제점</w:t>
            </w:r>
          </w:p>
        </w:tc>
        <w:tc>
          <w:tcPr>
            <w:tcW w:type="dxa" w:w="2780"/>
            <w:tcBorders>
              <w:top w:val="single" w:color="BBBBBB" w:sz="1"/>
              <w:left w:val="single" w:color="BBBBBB" w:sz="1"/>
              <w:bottom w:val="single" w:color="BBBBBB" w:sz="1"/>
              <w:right w:val="single" w:color="BBBBBB" w:sz="1"/>
            </w:tcBorders>
            <w:shd w:fill="2E5496" w:val="clear"/>
            <w:tcMar>
              <w:top w:type="dxa" w:w="60"/>
              <w:left w:type="dxa" w:w="110"/>
              <w:bottom w:type="dxa" w:w="60"/>
              <w:right w:type="dxa" w:w="110"/>
            </w:tcMar>
            <w:vAlign w:val="center"/>
          </w:tcPr>
          <w:p>
            <w:r>
              <w:rPr>
                <w:b/>
                <w:bCs/>
                <w:color w:val="FFFFFF"/>
                <w:sz w:val="16"/>
                <w:szCs w:val="16"/>
              </w:rPr>
              <w:t xml:space="preserve">수정 권고</w:t>
            </w:r>
          </w:p>
        </w:tc>
        <w:tc>
          <w:tcPr>
            <w:tcW w:type="dxa" w:w="860"/>
            <w:tcBorders>
              <w:top w:val="single" w:color="BBBBBB" w:sz="1"/>
              <w:left w:val="single" w:color="BBBBBB" w:sz="1"/>
              <w:bottom w:val="single" w:color="BBBBBB" w:sz="1"/>
              <w:right w:val="single" w:color="BBBBBB" w:sz="1"/>
            </w:tcBorders>
            <w:shd w:fill="2E5496" w:val="clear"/>
            <w:tcMar>
              <w:top w:type="dxa" w:w="60"/>
              <w:left w:type="dxa" w:w="110"/>
              <w:bottom w:type="dxa" w:w="60"/>
              <w:right w:type="dxa" w:w="110"/>
            </w:tcMar>
            <w:vAlign w:val="center"/>
          </w:tcPr>
          <w:p>
            <w:r>
              <w:rPr>
                <w:b/>
                <w:bCs/>
                <w:color w:val="FFFFFF"/>
                <w:sz w:val="16"/>
                <w:szCs w:val="16"/>
              </w:rPr>
              <w:t xml:space="preserve">심각도</w:t>
            </w:r>
          </w:p>
        </w:tc>
      </w:tr>
      <w:tr>
        <w:tc>
          <w:tcPr>
            <w:tcW w:type="dxa" w:w="5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sz w:val="15"/>
                <w:szCs w:val="15"/>
              </w:rPr>
              <w:t xml:space="preserve">1</w:t>
            </w:r>
          </w:p>
        </w:tc>
        <w:tc>
          <w:tcPr>
            <w:tcW w:type="dxa" w:w="162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sz w:val="15"/>
                <w:szCs w:val="15"/>
              </w:rPr>
              <w:t xml:space="preserve">6장 (검증지표 형식)</w:t>
            </w:r>
          </w:p>
        </w:tc>
        <w:tc>
          <w:tcPr>
            <w:tcW w:type="dxa" w:w="320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sz w:val="15"/>
                <w:szCs w:val="15"/>
              </w:rPr>
              <w:t xml:space="preserve">정확성·다양성 검증지표가 자연어 정의와 표(&lt;표 6-1&gt;·&lt;표 6-2&gt; 등) 중심으로 기술되어, 사람이 읽어 적용해야 하며 기계가 직접 실행할 형식 규칙이 아니다. 2027 ‘검증 자동생성’ 트랙과 연결하려면 형식화가 필요하다.</w:t>
            </w:r>
          </w:p>
        </w:tc>
        <w:tc>
          <w:tcPr>
            <w:tcW w:type="dxa" w:w="27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sz w:val="15"/>
                <w:szCs w:val="15"/>
              </w:rPr>
              <w:t xml:space="preserve">지표를 기계 실행 가능한 형식 규칙(SHACL 제약·DQV 측정값)으로 보완 — 상세는 개선방향 문서 참조.</w:t>
            </w:r>
          </w:p>
        </w:tc>
        <w:tc>
          <w:tcPr>
            <w:tcW w:type="dxa" w:w="860"/>
            <w:tcBorders>
              <w:top w:val="single" w:color="BBBBBB" w:sz="1"/>
              <w:left w:val="single" w:color="BBBBBB" w:sz="1"/>
              <w:bottom w:val="single" w:color="BBBBBB" w:sz="1"/>
              <w:right w:val="single" w:color="BBBBBB" w:sz="1"/>
            </w:tcBorders>
            <w:shd w:fill="FCE5CD" w:val="clear"/>
            <w:tcMar>
              <w:top w:type="dxa" w:w="60"/>
              <w:left w:type="dxa" w:w="110"/>
              <w:bottom w:type="dxa" w:w="60"/>
              <w:right w:type="dxa" w:w="110"/>
            </w:tcMar>
            <w:vAlign w:val="center"/>
          </w:tcPr>
          <w:p>
            <w:pPr>
              <w:jc w:val="center"/>
            </w:pPr>
            <w:r>
              <w:rPr>
                <w:b/>
                <w:bCs/>
                <w:sz w:val="15"/>
                <w:szCs w:val="15"/>
              </w:rPr>
              <w:t xml:space="preserve">중간</w:t>
            </w:r>
          </w:p>
        </w:tc>
      </w:tr>
      <w:tr>
        <w:tc>
          <w:tcPr>
            <w:tcW w:type="dxa" w:w="5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sz w:val="15"/>
                <w:szCs w:val="15"/>
              </w:rPr>
              <w:t xml:space="preserve">2</w:t>
            </w:r>
          </w:p>
        </w:tc>
        <w:tc>
          <w:tcPr>
            <w:tcW w:type="dxa" w:w="162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sz w:val="15"/>
                <w:szCs w:val="15"/>
              </w:rPr>
              <w:t xml:space="preserve">서문 3절 (인용 표준)</w:t>
            </w:r>
          </w:p>
        </w:tc>
        <w:tc>
          <w:tcPr>
            <w:tcW w:type="dxa" w:w="320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sz w:val="15"/>
                <w:szCs w:val="15"/>
              </w:rPr>
              <w:t xml:space="preserve">“인용 표준 해당 사항 없음”. 본 표준은 JSON 형식 데이터의 구문 정합성·유효범위를 검증하므로, 참조하는 JSON·스키마·데이터 품질 관련 규격이 있다면 인용 표준 등재 검토가 필요하다.</w:t>
            </w:r>
          </w:p>
        </w:tc>
        <w:tc>
          <w:tcPr>
            <w:tcW w:type="dxa" w:w="27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sz w:val="15"/>
                <w:szCs w:val="15"/>
              </w:rPr>
              <w:t xml:space="preserve">참조 규격 유무를 확인해 해당 시 인용 표준으로 등재.</w:t>
            </w:r>
          </w:p>
        </w:tc>
        <w:tc>
          <w:tcPr>
            <w:tcW w:type="dxa" w:w="860"/>
            <w:tcBorders>
              <w:top w:val="single" w:color="BBBBBB" w:sz="1"/>
              <w:left w:val="single" w:color="BBBBBB" w:sz="1"/>
              <w:bottom w:val="single" w:color="BBBBBB" w:sz="1"/>
              <w:right w:val="single" w:color="BBBBBB" w:sz="1"/>
            </w:tcBorders>
            <w:shd w:fill="FFF2CC" w:val="clear"/>
            <w:tcMar>
              <w:top w:type="dxa" w:w="60"/>
              <w:left w:type="dxa" w:w="110"/>
              <w:bottom w:type="dxa" w:w="60"/>
              <w:right w:type="dxa" w:w="110"/>
            </w:tcMar>
            <w:vAlign w:val="center"/>
          </w:tcPr>
          <w:p>
            <w:pPr>
              <w:jc w:val="center"/>
            </w:pPr>
            <w:r>
              <w:rPr>
                <w:b/>
                <w:bCs/>
                <w:sz w:val="15"/>
                <w:szCs w:val="15"/>
              </w:rPr>
              <w:t xml:space="preserve">낮음</w:t>
            </w:r>
          </w:p>
        </w:tc>
      </w:tr>
    </w:tbl>
    <w:p>
      <w:pPr>
        <w:spacing w:after="120" w:line="300"/>
      </w:pPr>
    </w:p>
    <w:p>
      <w:pPr>
        <w:pStyle w:val="Heading2"/>
      </w:pPr>
      <w:r>
        <w:t xml:space="preserve">2.1 검증지표의 형식화 (심각도 중간)</w:t>
      </w:r>
    </w:p>
    <w:p>
      <w:pPr>
        <w:spacing w:after="140" w:line="300"/>
      </w:pPr>
      <w:r>
        <w:t xml:space="preserve">이 표준은 검증지표를 명확히 정의한다. 6.1 정확성은 ‘의미적 정확성’(데이터 구축 시 고려)과 ‘구문적 정확성’(구축 완료 후 검증)으로 나뉘며, 본 표준은 후자를 다룬다. 구문적 정확성은 </w:t>
      </w:r>
      <w:r>
        <w:rPr>
          <w:rFonts w:ascii="Consolas" w:cs="Consolas" w:eastAsia="Consolas" w:hAnsi="Consolas"/>
          <w:sz w:val="18"/>
          <w:szCs w:val="18"/>
        </w:rPr>
        <w:t xml:space="preserve">Key/Value</w:t>
      </w:r>
      <w:r>
        <w:t xml:space="preserve"> 형식 검사(String·number·boolean·object·array·NULL)와 </w:t>
      </w:r>
      <w:r>
        <w:rPr>
          <w:rFonts w:ascii="Consolas" w:cs="Consolas" w:eastAsia="Consolas" w:hAnsi="Consolas"/>
          <w:sz w:val="18"/>
          <w:szCs w:val="18"/>
        </w:rPr>
        <w:t xml:space="preserve">Value</w:t>
      </w:r>
      <w:r>
        <w:t xml:space="preserve"> 유효범위 검사(‘사전에 정의한 유효범위 값 내에 작성되었는지 확인’)로 구성된다. 6.2 다양성은 ‘통계적 충분성’(유의미한 수량 확보)과 ‘통계적 균일성’(적정 비율로 편향 방지)으로, 분포 통계 분석을 통해 편향도를 도출한다.</w:t>
      </w:r>
    </w:p>
    <w:p>
      <w:pPr>
        <w:spacing w:after="140" w:line="300"/>
      </w:pPr>
      <w:r>
        <w:t xml:space="preserve">문제는 이 지표들이 자연어 정의와 표로만 기술되어, 사람이 읽고 도구를 별도로 구현해야 한다는 점이다. 이는 결함이라기보다 AI-Ready 전환의 핵심 과제다. ‘구문적 정확성(형식·유효범위)’은 그대로 </w:t>
      </w:r>
      <w:r>
        <w:rPr>
          <w:b/>
          <w:bCs/>
        </w:rPr>
        <w:t xml:space="preserve">SHACL</w:t>
      </w:r>
      <w:r>
        <w:t xml:space="preserve"> 제약으로, ‘다양성(분포·편향도)’은 </w:t>
      </w:r>
      <w:r>
        <w:rPr>
          <w:b/>
          <w:bCs/>
        </w:rPr>
        <w:t xml:space="preserve">DQV</w:t>
      </w:r>
      <w:r>
        <w:t xml:space="preserve"> 측정값으로 옮길 수 있다. 형식화하면 이 표준은 ‘사람이 읽는 지침’에서 ‘기계가 실행하는 검증 모듈’로 바뀌어, 2027 검증 자동생성 도구의 직접 입력이 된다.</w:t>
      </w:r>
    </w:p>
    <w:p>
      <w:pPr>
        <w:pBdr>
          <w:top w:val="single" w:color="C7D6E5" w:sz="4" w:space="5"/>
          <w:left w:val="single" w:color="5E7DA0" w:sz="16" w:space="8"/>
          <w:bottom w:val="single" w:color="C7D6E5" w:sz="4" w:space="5"/>
          <w:right w:val="single" w:color="C7D6E5" w:sz="4" w:space="5"/>
        </w:pBdr>
        <w:shd w:fill="EEF3F7" w:val="clear"/>
        <w:spacing w:after="120" w:before="60" w:line="285"/>
      </w:pPr>
      <w:r>
        <w:rPr>
          <w:b/>
          <w:bCs/>
          <w:color w:val="2E5496"/>
          <w:sz w:val="17"/>
          <w:szCs w:val="17"/>
        </w:rPr>
        <w:t xml:space="preserve">본문 근거  </w:t>
      </w:r>
      <w:r>
        <w:t xml:space="preserve">6장 — 구문적 정확성: “Key, Value 형식이 …하게 작성되어 있는지 확인하는 지표”, “사전에 정의한 유효범위 값 내에 작성되었는지 확인하는 지표”. 다양성: “분포 통계 분석을 통해 편향도를 도출하는 지표”.</w:t>
      </w:r>
    </w:p>
    <w:p>
      <w:pPr>
        <w:pStyle w:val="Heading2"/>
      </w:pPr>
      <w:r>
        <w:t xml:space="preserve">2.2 인용 표준 분류 (심각도 낮음)</w:t>
      </w:r>
    </w:p>
    <w:p>
      <w:pPr>
        <w:spacing w:after="140" w:line="300"/>
      </w:pPr>
      <w:r>
        <w:t xml:space="preserve">이 표준은 자체 완결적 품질 검증 스키마를 정의하므로 외부 표준에 대한 명백한 규범적 의존은 약하다. 다만 검증 대상이 JSON 형식이고 구문 정합성·유효범위를 다루므로, 참조하는 JSON·스키마·품질 관련 규격이 있다면 인용 표준으로 등재할지 검토할 필요가 있다(1530·1510처럼 명백한 누락은 아님).</w:t>
      </w:r>
    </w:p>
    <w:p>
      <w:pPr>
        <w:pStyle w:val="Heading1"/>
      </w:pPr>
      <w:r>
        <w:t xml:space="preserve">3. 점검 통과(N) · 비해당(N/A) 항목</w:t>
      </w:r>
    </w:p>
    <w:p>
      <w:pPr>
        <w:spacing w:after="140" w:line="300"/>
      </w:pPr>
      <w:r>
        <w:t xml:space="preserve">아래 항목은 이 표준의 성격상 적용 대상이 아니거나(N/A) 검사 결과 결함이 없는(N) 항목이다. 이 표준은 개별 데이터 타입·코드표를 정의하는 표준이 아니라 품질 검증 ‘지침’이라, 데이터 구조형 결함이 원천적으로 적다.</w:t>
      </w:r>
    </w:p>
    <w:p>
      <w:pPr>
        <w:pStyle w:val="ListParagraph"/>
        <w:numPr>
          <w:ilvl w:val="0"/>
          <w:numId w:val="2"/>
        </w:numPr>
        <w:spacing w:after="70" w:line="292"/>
      </w:pPr>
      <w:r>
        <w:rPr>
          <w:b/>
          <w:bCs/>
        </w:rPr>
        <w:t xml:space="preserve">데이터 타입 정의 오류 — </w:t>
      </w:r>
      <w:r>
        <w:t>(N/A · 비해당) 개별 데이터 타입을 정의하는 표준이 아니라 JSON 데이터의 품질을 검증하는 지침으로, 타입 정의 대상이 없음.</w:t>
      </w:r>
    </w:p>
    <w:p>
      <w:pPr>
        <w:pStyle w:val="ListParagraph"/>
        <w:numPr>
          <w:ilvl w:val="0"/>
          <w:numId w:val="2"/>
        </w:numPr>
        <w:spacing w:after="70" w:line="292"/>
      </w:pPr>
      <w:r>
        <w:rPr>
          <w:b/>
          <w:bCs/>
        </w:rPr>
        <w:t xml:space="preserve">단위 표기 모호성 — </w:t>
      </w:r>
      <w:r>
        <w:t>(N/A · 비해당) 측정 단위를 다루지 않는 품질 검증 지침으로 단위 표기 대상이 없음.</w:t>
      </w:r>
    </w:p>
    <w:p>
      <w:pPr>
        <w:pStyle w:val="ListParagraph"/>
        <w:numPr>
          <w:ilvl w:val="0"/>
          <w:numId w:val="2"/>
        </w:numPr>
        <w:spacing w:after="70" w:line="292"/>
      </w:pPr>
      <w:r>
        <w:rPr>
          <w:b/>
          <w:bCs/>
        </w:rPr>
        <w:t xml:space="preserve">코드/enum 정의 오류 — </w:t>
      </w:r>
      <w:r>
        <w:t>(N/A · 비해당) 코드표/enum을 정의하는 표준이 아니어서 해당 유형 결함이 성립하지 않음.</w:t>
      </w:r>
    </w:p>
    <w:p>
      <w:pPr>
        <w:pStyle w:val="ListParagraph"/>
        <w:numPr>
          <w:ilvl w:val="0"/>
          <w:numId w:val="2"/>
        </w:numPr>
        <w:spacing w:after="70" w:line="292"/>
      </w:pPr>
      <w:r>
        <w:rPr>
          <w:b/>
          <w:bCs/>
        </w:rPr>
        <w:t xml:space="preserve">오타·표기 불일치 — </w:t>
      </w:r>
      <w:r>
        <w:t>(N · 통과) 검토 범위에서 오탈자는 발견되지 않음.</w:t>
      </w:r>
    </w:p>
    <w:p>
      <w:pPr>
        <w:pStyle w:val="ListParagraph"/>
        <w:numPr>
          <w:ilvl w:val="0"/>
          <w:numId w:val="2"/>
        </w:numPr>
        <w:spacing w:after="70" w:line="292"/>
      </w:pPr>
      <w:r>
        <w:rPr>
          <w:b/>
          <w:bCs/>
        </w:rPr>
        <w:t xml:space="preserve">내부 일관성 — </w:t>
      </w:r>
      <w:r>
        <w:t>(N · 통과) 검토 범위에서 내부 표기 불일치는 발견되지 않음.</w:t>
      </w:r>
    </w:p>
    <w:p>
      <w:pPr>
        <w:pStyle w:val="Heading1"/>
      </w:pPr>
      <w:r>
        <w:t xml:space="preserve">4. 조치 우선순위</w:t>
      </w:r>
    </w:p>
    <w:p>
      <w:pPr>
        <w:spacing w:after="140" w:line="300"/>
      </w:pPr>
      <w:r>
        <w:t xml:space="preserve">이 표준은 품질 검증 지침으로서 정합성 결함은 크지 않다. 핵심 개선은 2.1 ‘검증지표의 기계 실행 형식화’이며, 이는 개선방향 문서의 품질·운영 시맨틱 항목에서 SHACL·DQV 전환으로 구체화한다. 인용 표준은 참조 규격 확인 후 보완하면 된다.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Malgun Gothic" w:cs="Malgun Gothic" w:eastAsia="Malgun Gothic" w:hAnsi="Malgun Gothic"/>
      <w:b/>
      <w:bCs/>
      <w:color w:val="1F3864"/>
      <w:sz w:val="26"/>
      <w:szCs w:val="26"/>
    </w:rPr>
  </w:style>
  <w:style w:type="paragraph" w:styleId="Heading2">
    <w:name w:val="Heading 2"/>
    <w:basedOn w:val="Normal"/>
    <w:next w:val="Normal"/>
    <w:qFormat/>
    <w:pPr>
      <w:spacing w:after="110" w:before="220"/>
      <w:outlineLvl w:val="1"/>
    </w:pPr>
    <w:rPr>
      <w:rFonts w:ascii="Malgun Gothic" w:cs="Malgun Gothic" w:eastAsia="Malgun Gothic" w:hAnsi="Malgun Gothic"/>
      <w:b/>
      <w:bCs/>
      <w:color w:val="2E5496"/>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2026-06-22T06:18:39.231Z</dcterms:created>
  <dcterms:modified xsi:type="dcterms:W3CDTF">2026-06-22T06:18:39.231Z</dcterms:modified>
</cp:coreProperties>
</file>

<file path=docProps/custom.xml><?xml version="1.0" encoding="utf-8"?>
<Properties xmlns="http://schemas.openxmlformats.org/officeDocument/2006/custom-properties" xmlns:vt="http://schemas.openxmlformats.org/officeDocument/2006/docPropsVTypes"/>
</file>