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디지털트윈 객체 데이터모델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디지털 트윈 연합 - 제6부: 디지털 트윈 객체 데이터 모델 (Digital Twin Federation – Part 6: Data Model for Digital Twin Object)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TTAK.KO-11.0326-Part6 (제정 2023.12.06.) · PG609</w:t>
      </w:r>
    </w:p>
    <w:p>
      <w:pPr>
        <w:spacing w:after="240"/>
        <w:jc w:val="center"/>
      </w:pPr>
      <w:r>
        <w:t>7개 구성요소 프레임워크 기반 상세 분석 · 성숙도 4/12 ≈ 33%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본 표준은 디지털 트윈 연합 환경에서 개별 디지털 트윈의 객체 데이터 모델이 상이할 때의 상호운용성 문제를 해결하기 위해, 디지털 트윈 객체(7절)와 연합 디지털 트윈 객체(8절)의 공통 속성 데이터 모델을 NGSI-LD 정규 표현으로 표 형태로 정의한다.</w:t>
      </w:r>
    </w:p>
    <w:p>
      <w:pPr>
        <w:spacing w:after="140" w:line="300"/>
      </w:pPr>
      <w:r>
        <w:t>AI-Ready 관점의 출발점은 양호한 편이다. @context(JSON-LD)·Relationship·observedAt·GeoProperty 등 링크드 데이터 요소를 이미 도입하고 있어, 보정표상 0976(5/12)~1595(5/14) 사이의 표·산문형 표준보다 형식 기반이 한 단계 위지만, 어휘 바인딩·규범 직렬화가 미완결이어 1594(11/14, RDF 온톨로지)에는 크게 못 미친다.</w:t>
      </w:r>
    </w:p>
    <w:p>
      <w:pPr>
        <w:spacing w:after="140" w:line="300"/>
      </w:pPr>
      <w:r>
        <w:t xml:space="preserve">핵심 진단은 '형식 어휘로의 바인딩 부재'다. @context를 도입했으나 실제 IRI 어휘에 핵심 개념을 연결하지 않고, 관계를 그래프로 형식화하지 않으며, 품질·접근제약 메타데이터가 부재하다. NGSI-LD/JSON-LD를 실어휘(schema.org·SKOS)와 SHACL·DCAT·DQV로 확장하는 것이 전환 경로의 요지다.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(1 · 부분)</w:t>
      </w:r>
    </w:p>
    <w:p>
      <w:pPr>
        <w:spacing w:after="140" w:line="300"/>
      </w:pPr>
      <w:r>
        <w:t xml:space="preserve">3.1 시맨틱(현재 1) — @context(5.2 a)와 schema.org 참고 Address(표 6-1)로 일부 어휘 연결이 있으나 type·name·owner·subject 등 핵심 속성이 로컬 속성명·산문 설명에 머문다.</w:t>
      </w:r>
    </w:p>
    <w:p>
      <w:pPr>
        <w:spacing w:after="140" w:line="300"/>
      </w:pPr>
      <w:r>
        <w:t xml:space="preserve">표 7-2·8-2의 각 속성을 schema.org/SKOS의 IRI로 매핑한 @context 문서를 표준 부속으로 제공해, 짧은 속성명이 전역 어휘 IRI에 실제 바인딩되도록 한다(예: name→schema:name, owner→schema:owner).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NGSI-LD 값 타입(Property/Relationship·xs:)을 정의하나 json: 비표준 접두 혼용이 있고 검증 스키마는 없다.</w:t>
      </w:r>
    </w:p>
    <w:p>
      <w:pPr>
        <w:spacing w:after="140" w:line="300"/>
      </w:pPr>
      <w:r>
        <w:t>타입 표기를 정합화하고 JSON Schema로 값 제약을 형식화한다.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t xml:space="preserve">3.3 신태틱(현재 1) — 5.2·6.2에서 NGSI-LD JSON/JSON-LD 직렬화와 정규 표현법(type/value)을 명시하나 규범 스키마·@context 문서를 제공하지 않는다.</w:t>
      </w:r>
    </w:p>
    <w:p>
      <w:pPr>
        <w:spacing w:after="140" w:line="300"/>
      </w:pPr>
      <w:r>
        <w:t xml:space="preserve">@context JSON-LD 문서와 JSON Schema(또는 SHACL)를 규범 부속으로 배포해, 인스턴스가 기계 검증 가능한 규범 직렬화를 갖추도록 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디지털 트윈 객체 데이터 모델을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t xml:space="preserve">3.5 출처/계보(현재 1) — creator·owner·createdAt·modifiedAt(표 7-2)과 observedBy로 출처 필드 일부가 있으나 계보가 형식화되지 않았다.</w:t>
      </w:r>
    </w:p>
    <w:p>
      <w:pPr>
        <w:spacing w:after="140" w:line="300"/>
      </w:pPr>
      <w:r>
        <w:t xml:space="preserve">creator/createdAt/observedBy 등을 PROV-O(prov:wasAttributedTo, prov:wasGeneratedBy, prov:wasDerivedFrom)에 매핑해 객체·연합객체의 생성·연합 계보를 형식 그래프로 표현한다.</w:t>
      </w:r>
    </w:p>
    <w:p>
      <w:pPr>
        <w:pStyle w:val="Heading2"/>
      </w:pPr>
      <w:r>
        <w:t xml:space="preserve">3.6 품질 프로파일 (0 · 미충족)</w:t>
      </w:r>
    </w:p>
    <w:p>
      <w:pPr>
        <w:spacing w:after="140" w:line="300"/>
      </w:pPr>
      <w:r>
        <w:t xml:space="preserve">3.6 품질 프로파일(현재 0) — 표 7-2·8-2와 6절에 데이터 품질 표기 필드가 전무하다.</w:t>
      </w:r>
    </w:p>
    <w:p>
      <w:pPr>
        <w:spacing w:after="140" w:line="300"/>
      </w:pPr>
      <w:r>
        <w:t xml:space="preserve">센서 연계 값 등에 정확도·신뢰도·완전성 지표를 DQV(dqv:QualityMeasurement, dqv:hasQualityMeasurement)로 부여해 품질 신호를 형식화한다.</w:t>
      </w:r>
    </w:p>
    <w:p>
      <w:pPr>
        <w:pStyle w:val="Heading2"/>
      </w:pPr>
      <w:r>
        <w:t xml:space="preserve">3.7 접근/사용 제약 (0 · 미충족)</w:t>
      </w:r>
    </w:p>
    <w:p>
      <w:pPr>
        <w:spacing w:after="140" w:line="300"/>
      </w:pPr>
      <w:r>
        <w:t xml:space="preserve">3.7 접근/사용 제약(현재 0) — 표지 저작권·부록 Ⅱ-1 외에 데이터 수준 라이선스·접근권 메타데이터가 모델에 없다.</w:t>
      </w:r>
    </w:p>
    <w:p>
      <w:pPr>
        <w:spacing w:after="140" w:line="300"/>
      </w:pPr>
      <w:r>
        <w:t xml:space="preserve">객체·연합객체에 DCAT v3의 dcterms:license·dcat:accessService와 ODRL 정책을 데이터 수준 속성으로 추가해 접근·사용 제약을 명시한다.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 순서는 (1) 표 7-2·8-2 속성을 schema.org/SKOS IRI에 매핑한 @context 문서를 규범 부속으로 제공(시맨틱·신태틱 동시 상승), (2) 관계·필수여부를 RDFS/SHACL로 형식화(데이터 모델), (3) QUDT/UCUM 단위 결합(운영 시맨틱), (4) PROV-O 계보·DQV 품질·DCAT/ODRL 접근제약 메타데이터를 단계적으로 추가하는 것이다.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schema.org / SKOS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 context / Croissant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@context JSON-LD 문서와 JSON Schema(또는 SHACL)를 규범 부속으로 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— ML 사용 시 Croissant 포장 계층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· N/A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creator/createdAt/observedBy 등을 PROV-O(prov:wasAttri…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센서 연계 값 등에 정확도·신뢰도·완전성 지표를 DQV(dqv:QualityMeasuremen…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 v3 / ODRL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객체·연합객체에 DCAT v3의 dcterms:license·dcat:accessService…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본 표준은 NGSI-LD/JSON-LD 기반으로 디지털 트윈 객체 데이터 모델의 구조적 토대를 이미 갖추고 있어, 인용표준 분류 정정과 표기 오류 수정 같은 단기 품질 개선과 함께 @context 실어휘 바인딩·SHACL·PROV-O·DCAT/ODRL 확장을 적용하면 디지털 트윈 연합 데이터의 AI-Ready 성숙도를 효과적으로 끌어올릴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