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운영요령 별지 제15호·제23호·제24호 개정(안)</w:t>
      </w:r>
    </w:p>
    <w:p>
      <w:pPr>
        <w:jc w:val="center"/>
      </w:pPr>
      <w:r>
        <w:rPr>
          <w:rFonts w:ascii="맑은 고딕" w:hAnsi="맑은 고딕" w:eastAsia="맑은 고딕"/>
          <w:b w:val="0"/>
          <w:color w:val="444444"/>
          <w:sz w:val="22"/>
        </w:rPr>
        <w:t>검토결과서에 「AI-Ready 확인」란 추가</w:t>
      </w:r>
    </w:p>
    <w:p>
      <w:pPr>
        <w:jc w:val="center"/>
      </w:pPr>
      <w:r>
        <w:rPr>
          <w:rFonts w:ascii="맑은 고딕" w:hAnsi="맑은 고딕" w:eastAsia="맑은 고딕"/>
          <w:b w:val="0"/>
          <w:color w:val="777777"/>
          <w:sz w:val="17"/>
        </w:rPr>
        <w:t>SBG-0030(13)/R13 기준 · 제15조제2항·제26조제6항 연계</w:t>
      </w:r>
    </w:p>
    <w:p/>
    <w:p>
      <w:pPr>
        <w:pStyle w:val="Heading1"/>
      </w:pPr>
      <w:r>
        <w:t>1. 개정 개요</w:t>
      </w:r>
    </w:p>
    <w:p>
      <w:r>
        <w:rPr>
          <w:rFonts w:ascii="맑은 고딕" w:hAnsi="맑은 고딕" w:eastAsia="맑은 고딕"/>
          <w:b w:val="0"/>
          <w:sz w:val="20"/>
        </w:rPr>
        <w:t>두 검토결과서 서식에 AI-Ready 확인 항목을 추가한다. 현행 서식의 기존 항목은 그대로 두고, 표 말미에 「AI-Ready 확인」 절만 신설한다(굵은 표가 신설분).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008"/>
        <w:gridCol w:w="3168"/>
        <w:gridCol w:w="2160"/>
        <w:gridCol w:w="1440"/>
        <w:gridCol w:w="1296"/>
      </w:tblGrid>
      <w:tr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별지</w:t>
            </w:r>
          </w:p>
        </w:tc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서식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작성 주체 · 시점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추가 항목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연계 조문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제15호</w:t>
            </w:r>
          </w:p>
        </w:tc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검토결과서 (표준화과제 제·개정 검토)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TC 의장 · 과제 검토 시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AI-Ready 적용 대상·목표 확인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제15조②(보강)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제23호</w:t>
              <w:br/>
              <w:t>·제24호</w:t>
            </w:r>
          </w:p>
        </w:tc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검토결과서 (표준·잠정표준 유지보수)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TC 의장 · 유지보수 시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AI-Ready 자가점검 결과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제26조⑥(신설)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※ 별지 제16호(표준 폐지 검토)는 표준을 없애는 절차라 AI-Ready와 무관하므로 개정하지 않는다.</w:t>
      </w:r>
    </w:p>
    <w:p>
      <w:pPr>
        <w:pStyle w:val="Heading1"/>
      </w:pPr>
      <w:r>
        <w:t>2. 별지 제15호 서식 (제안 과제 검토결과서) 개정</w:t>
      </w:r>
    </w:p>
    <w:p>
      <w:r>
        <w:rPr>
          <w:rFonts w:ascii="맑은 고딕" w:hAnsi="맑은 고딕" w:eastAsia="맑은 고딕"/>
          <w:b/>
          <w:sz w:val="20"/>
        </w:rPr>
        <w:t xml:space="preserve">현행(요지). </w:t>
      </w:r>
      <w:r>
        <w:rPr>
          <w:rFonts w:ascii="맑은 고딕" w:hAnsi="맑은 고딕" w:eastAsia="맑은 고딕"/>
          <w:b w:val="0"/>
          <w:sz w:val="20"/>
        </w:rPr>
        <w:t>사무국이 선정한 기술위원회등의 의장이 제안된 표준화과제의 추진 타당성을 검토하고 산하 담당 프로젝트그룹을 결정하여 작성하는 서식(제15조제2항). 통상 과제명·제안자·소관 PG·검토 의견(타당성)·채택 권고·작성자·일자 항목으로 구성된다.</w:t>
      </w:r>
    </w:p>
    <w:p>
      <w:r>
        <w:rPr>
          <w:rFonts w:ascii="맑은 고딕" w:hAnsi="맑은 고딕" w:eastAsia="맑은 고딕"/>
          <w:b/>
          <w:sz w:val="20"/>
        </w:rPr>
        <w:t xml:space="preserve">개정. </w:t>
      </w:r>
      <w:r>
        <w:rPr>
          <w:rFonts w:ascii="맑은 고딕" w:hAnsi="맑은 고딕" w:eastAsia="맑은 고딕"/>
          <w:b w:val="0"/>
          <w:sz w:val="20"/>
        </w:rPr>
        <w:t>아래 「AI-Ready 확인」 절을 서식 말미에 신설한다. 제안자가 첨부한 별지 제11-1호(AI-Ready 선언)를 근거로 TC 의장이 확정한다.</w:t>
      </w:r>
    </w:p>
    <w:p>
      <w:r>
        <w:rPr>
          <w:rFonts w:ascii="맑은 고딕" w:hAnsi="맑은 고딕" w:eastAsia="맑은 고딕"/>
          <w:b/>
          <w:sz w:val="19"/>
        </w:rPr>
        <w:t>[별지 제15호 서식] 검토결과서 — 신설 「AI-Ready 확인」 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664"/>
        <w:gridCol w:w="5904"/>
      </w:tblGrid>
      <w:tr>
        <w:tc>
          <w:tcPr>
            <w:tcW w:type="dxa" w:w="2664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AI-Ready 확인 (제15조제2항)</w:t>
            </w:r>
          </w:p>
        </w:tc>
        <w:tc>
          <w:tcPr>
            <w:tcW w:type="dxa" w:w="59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적용 대상 여부</w:t>
            </w:r>
          </w:p>
        </w:tc>
        <w:tc>
          <w:tcPr>
            <w:tcW w:type="dxa" w:w="59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적용 대상      ☐ 비대상 (기술규격, 기능·통신 절차, 인터페이스, 데이터 미기술 등)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(대상 시) 선언 프로파일</w:t>
            </w:r>
          </w:p>
        </w:tc>
        <w:tc>
          <w:tcPr>
            <w:tcW w:type="dxa" w:w="59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① 지식정보   ☐ ② 자기기술형 레코드   ☐ ② 중 참조표준·물성   ☐ ③ AI 데이터세트   ☐ ④ 품질 지표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(대상 시) 선언 목표 수준</w:t>
            </w:r>
          </w:p>
        </w:tc>
        <w:tc>
          <w:tcPr>
            <w:tcW w:type="dxa" w:w="59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필수만      ☐ 권장까지      (별표 10 기준)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확인 의견</w:t>
            </w:r>
          </w:p>
        </w:tc>
        <w:tc>
          <w:tcPr>
            <w:tcW w:type="dxa" w:w="59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(제안자 선언의 적정성 · 프로파일/목표 확정 의견 — TC 의장 기재)</w:t>
            </w:r>
          </w:p>
        </w:tc>
      </w:tr>
    </w:tbl>
    <w:p/>
    <w:p>
      <w:pPr>
        <w:pStyle w:val="Heading1"/>
      </w:pPr>
      <w:r>
        <w:t>3. 별지 제23호·제24호 서식 (유지보수 검토결과서) 개정</w:t>
      </w:r>
    </w:p>
    <w:p>
      <w:r>
        <w:rPr>
          <w:rFonts w:ascii="맑은 고딕" w:hAnsi="맑은 고딕" w:eastAsia="맑은 고딕"/>
          <w:b/>
          <w:sz w:val="20"/>
        </w:rPr>
        <w:t xml:space="preserve">현행(요지). </w:t>
      </w:r>
      <w:r>
        <w:rPr>
          <w:rFonts w:ascii="맑은 고딕" w:hAnsi="맑은 고딕" w:eastAsia="맑은 고딕"/>
          <w:b w:val="0"/>
          <w:sz w:val="20"/>
        </w:rPr>
        <w:t>기술위원회등의 의장이 공고 후 5년 이내 표준(별지 제23호) 또는 1년 이내 잠정표준(별지 제24호)의 유지·개정·폐지 여부를 검토(유지보수)하여 운영위원회에 보고하는 서식(제26조제2항). 통상 표준번호·표준명·검토 사유·검토 의견·결정(유지/개정/폐지)·재검토 기간·작성자·일자 항목으로 구성된다.</w:t>
      </w:r>
    </w:p>
    <w:p>
      <w:r>
        <w:rPr>
          <w:rFonts w:ascii="맑은 고딕" w:hAnsi="맑은 고딕" w:eastAsia="맑은 고딕"/>
          <w:b/>
          <w:sz w:val="20"/>
        </w:rPr>
        <w:t xml:space="preserve">개정. </w:t>
      </w:r>
      <w:r>
        <w:rPr>
          <w:rFonts w:ascii="맑은 고딕" w:hAnsi="맑은 고딕" w:eastAsia="맑은 고딕"/>
          <w:b w:val="0"/>
          <w:sz w:val="20"/>
        </w:rPr>
        <w:t>아래 「AI-Ready 자가점검」 절을 두 서식 말미에 동일하게 신설한다. AI-Ready 적용 대상 표준(잠정표준 포함)은 유지보수 시 자가점검을 함께 실시해 결과를 기재한다(제26조제6항).</w:t>
      </w:r>
    </w:p>
    <w:p>
      <w:r>
        <w:rPr>
          <w:rFonts w:ascii="맑은 고딕" w:hAnsi="맑은 고딕" w:eastAsia="맑은 고딕"/>
          <w:b/>
          <w:sz w:val="19"/>
        </w:rPr>
        <w:t>[별지 제23호·제24호 서식] 검토결과서 — 신설 「AI-Ready 자가점검」 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664"/>
        <w:gridCol w:w="5904"/>
      </w:tblGrid>
      <w:tr>
        <w:tc>
          <w:tcPr>
            <w:tcW w:type="dxa" w:w="2664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AI-Ready 자가점검 (제26조제6항)</w:t>
            </w:r>
          </w:p>
        </w:tc>
        <w:tc>
          <w:tcPr>
            <w:tcW w:type="dxa" w:w="59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적용 대상 여부</w:t>
            </w:r>
          </w:p>
        </w:tc>
        <w:tc>
          <w:tcPr>
            <w:tcW w:type="dxa" w:w="59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적용 대상      ☐ 비대상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현행 AI-Ready 성숙도</w:t>
            </w:r>
          </w:p>
        </w:tc>
        <w:tc>
          <w:tcPr>
            <w:tcW w:type="dxa" w:w="59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________ %   (별표 10 산식: 등급합 ÷ 적용수×2)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미충족 · 보완 필요 구성요소</w:t>
            </w:r>
          </w:p>
        </w:tc>
        <w:tc>
          <w:tcPr>
            <w:tcW w:type="dxa" w:w="59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(7구성요소 중 등급 0·1 항목 기재 — 예: 신태틱 1, 품질 0)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유지보수 조치</w:t>
            </w:r>
          </w:p>
        </w:tc>
        <w:tc>
          <w:tcPr>
            <w:tcW w:type="dxa" w:w="59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현행 유지      ☐ AI-Ready 보완을 위한 개정 과제 제안 (제26조제5항 연계)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자가점검표 첨부</w:t>
            </w:r>
          </w:p>
        </w:tc>
        <w:tc>
          <w:tcPr>
            <w:tcW w:type="dxa" w:w="59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첨부 (별지 제21-1호 AI-Ready 자가점검표 — 구성요소 등급·정합성·산출물)</w:t>
            </w:r>
          </w:p>
        </w:tc>
      </w:tr>
    </w:tbl>
    <w:p/>
    <w:p>
      <w:pPr>
        <w:pStyle w:val="Heading1"/>
      </w:pPr>
      <w:r>
        <w:t>4. 유의사항</w:t>
      </w:r>
    </w:p>
    <w:p>
      <w:r>
        <w:rPr>
          <w:rFonts w:ascii="맑은 고딕" w:hAnsi="맑은 고딕" w:eastAsia="맑은 고딕"/>
          <w:b/>
          <w:sz w:val="20"/>
        </w:rPr>
        <w:t xml:space="preserve">① 최소 개정. </w:t>
      </w:r>
      <w:r>
        <w:rPr>
          <w:rFonts w:ascii="맑은 고딕" w:hAnsi="맑은 고딕" w:eastAsia="맑은 고딕"/>
          <w:b w:val="0"/>
          <w:sz w:val="20"/>
        </w:rPr>
        <w:t>기존 서식의 항목·구조는 그대로 두고 「AI-Ready 확인/자가점검」 절만 말미에 덧붙인다 — 비대상 표준은 "비대상"에 체크하고 나머지를 비워 부담을 최소화한다.</w:t>
      </w:r>
    </w:p>
    <w:p>
      <w:r>
        <w:rPr>
          <w:rFonts w:ascii="맑은 고딕" w:hAnsi="맑은 고딕" w:eastAsia="맑은 고딕"/>
          <w:b/>
          <w:sz w:val="20"/>
        </w:rPr>
        <w:t xml:space="preserve">② 근거 연계. </w:t>
      </w:r>
      <w:r>
        <w:rPr>
          <w:rFonts w:ascii="맑은 고딕" w:hAnsi="맑은 고딕" w:eastAsia="맑은 고딕"/>
          <w:b w:val="0"/>
          <w:sz w:val="20"/>
        </w:rPr>
        <w:t>제15호는 제15조제2항 보강(적용 대상 확인)에, 제23호·제24호는 제26조제6항 신설(유지보수 자가점검)에 대응한다. 두 조문은 「TTA규범3종_AI-Ready_개정안_신구조문대비표」 3.3·3.7에 있다.</w:t>
      </w:r>
    </w:p>
    <w:p>
      <w:r>
        <w:rPr>
          <w:rFonts w:ascii="맑은 고딕" w:hAnsi="맑은 고딕" w:eastAsia="맑은 고딕"/>
          <w:b/>
          <w:sz w:val="19"/>
        </w:rPr>
        <w:t xml:space="preserve">③ 현행 원문 대조. </w:t>
      </w:r>
      <w:r>
        <w:rPr>
          <w:rFonts w:ascii="맑은 고딕" w:hAnsi="맑은 고딕" w:eastAsia="맑은 고딕"/>
          <w:b w:val="0"/>
          <w:sz w:val="19"/>
        </w:rPr>
        <w:t>위 "현행(요지)"는 서식의 목적·통상 항목을 기술한 것으로, 개정 상정 전 SBG-0030(13)/R13 원문 서식의 실제 항목·배치와 대조하여 확정한다.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