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AI 모델의 학습 데이터세트 관리와 상호운용성 지원을 위한 메타데이터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TTAK.KO-10.1594 · PG606 — AI-Ready 전환 실증 사례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「AI-Ready 선언」과 「자가점검표」를 이 표준의 실제 값으로 채운 전환 사례 · v0.1</w:t>
      </w:r>
    </w:p>
    <w:p>
      <w:pPr>
        <w:pStyle w:val="Heading1"/>
      </w:pPr>
      <w:r>
        <w:t>0. 개요</w:t>
      </w:r>
    </w:p>
    <w:p>
      <w:r>
        <w:rPr>
          <w:rFonts w:ascii="맑은 고딕" w:hAnsi="맑은 고딕" w:eastAsia="맑은 고딕"/>
          <w:b w:val="0"/>
          <w:sz w:val="20"/>
        </w:rPr>
        <w:t>이 문서는 기존 표준 「AI 모델의 학습 데이터세트 관리와 상호운용성 지원을 위한 메타데이터」을 AI-Ready로 전환하는 실증 사례다. 제안 단계의 「AI-Ready 선언」(1장)과 상정 전의 「AI-Ready 자가점검」(2장)을 이 표준의 실제 값으로 채워, 현행 수준에서 목표까지 무엇이 달라지는지 보인다. 요소↔어휘 식별자 매핑·@context 등 실물은 부속서 폴더(부속서_context·shacl·provo 등)에 있으며, 여기서는 그 위치를 증빙으로 가리킨다.</w:t>
      </w:r>
    </w:p>
    <w:p>
      <w:pPr>
        <w:pStyle w:val="Heading1"/>
      </w:pPr>
      <w:r>
        <w:t>1. AI-Ready 선언 (목표)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소관 PG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TTAK.KO-10.1594 · PG606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2025.12.05(개정 제안)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국립군산대학교(에디터) · KISTI(제안)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AI 데이터세트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필수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 · 출처 (= L2)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목표 수준 — 권장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운영 · 품질 · 접근 (= L3)</w:t>
            </w:r>
          </w:p>
        </w:tc>
      </w:tr>
    </w:tbl>
    <w:p/>
    <w:p>
      <w:pPr>
        <w:pStyle w:val="Heading1"/>
      </w:pPr>
      <w:r>
        <w:t>2. AI-Ready 자가점검 (현행 → 목표)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79%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ML이라 분모 14). 정합성 자가검증에서 A축 결함 4건이 발견돼 개정 시 함께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(부속서·절)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(요소↔IRI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부속서_context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부속서_shacl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부속서_provo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부속서_croissant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부속서_quality (DQV)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부속서_odrl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 / 14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79%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전환 핵심 — 무엇을 보완하면 되나</w:t>
      </w:r>
    </w:p>
    <w:p>
      <w:r>
        <w:rPr>
          <w:rFonts w:ascii="맑은 고딕" w:hAnsi="맑은 고딕" w:eastAsia="맑은 고딕"/>
          <w:b w:val="0"/>
          <w:sz w:val="20"/>
        </w:rPr>
        <w:t>성숙도 79%로 전체 2위이나, 신태틱만 1등급이라 기준선 L1에 한 칸 못 미친다 — 규범 @context가 없기 때문이다. RDF로 이미 설계됐으므로 @context 하나만 부속서로 내면 L1에 도달한다.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